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84"/>
          <w:szCs w:val="84"/>
          <w:u w:val="none"/>
        </w:rPr>
      </w:pPr>
    </w:p>
    <w:p>
      <w:pPr>
        <w:rPr>
          <w:color w:val="auto"/>
          <w:sz w:val="84"/>
          <w:szCs w:val="84"/>
          <w:u w:val="none"/>
        </w:rPr>
      </w:pPr>
    </w:p>
    <w:p>
      <w:pPr>
        <w:rPr>
          <w:color w:val="auto"/>
          <w:sz w:val="84"/>
          <w:szCs w:val="84"/>
          <w:u w:val="none"/>
        </w:rPr>
      </w:pPr>
    </w:p>
    <w:p>
      <w:pPr>
        <w:rPr>
          <w:color w:val="auto"/>
          <w:sz w:val="84"/>
          <w:szCs w:val="84"/>
          <w:u w:val="none"/>
        </w:rPr>
      </w:pPr>
    </w:p>
    <w:p>
      <w:pPr>
        <w:jc w:val="center"/>
        <w:rPr>
          <w:rFonts w:hint="eastAsia" w:asciiTheme="minorEastAsia" w:hAnsiTheme="minorEastAsia" w:cstheme="minorEastAsia"/>
          <w:b w:val="0"/>
          <w:bCs w:val="0"/>
          <w:color w:val="auto"/>
          <w:sz w:val="84"/>
          <w:szCs w:val="84"/>
          <w:u w:val="none"/>
        </w:rPr>
      </w:pPr>
      <w:r>
        <w:rPr>
          <w:rFonts w:hint="eastAsia" w:asciiTheme="minorEastAsia" w:hAnsiTheme="minorEastAsia" w:cstheme="minorEastAsia"/>
          <w:b w:val="0"/>
          <w:bCs w:val="0"/>
          <w:color w:val="auto"/>
          <w:sz w:val="84"/>
          <w:szCs w:val="84"/>
          <w:u w:val="none"/>
          <w:lang w:val="en-US" w:eastAsia="zh-CN"/>
        </w:rPr>
        <w:t>2020</w:t>
      </w:r>
      <w:r>
        <w:rPr>
          <w:rFonts w:hint="eastAsia" w:asciiTheme="minorEastAsia" w:hAnsiTheme="minorEastAsia" w:cstheme="minorEastAsia"/>
          <w:b w:val="0"/>
          <w:bCs w:val="0"/>
          <w:color w:val="auto"/>
          <w:sz w:val="84"/>
          <w:szCs w:val="84"/>
          <w:u w:val="none"/>
        </w:rPr>
        <w:t>年</w:t>
      </w:r>
      <w:r>
        <w:rPr>
          <w:rFonts w:hint="eastAsia" w:asciiTheme="minorEastAsia" w:hAnsiTheme="minorEastAsia" w:cstheme="minorEastAsia"/>
          <w:b w:val="0"/>
          <w:bCs w:val="0"/>
          <w:color w:val="auto"/>
          <w:sz w:val="84"/>
          <w:szCs w:val="84"/>
          <w:u w:val="none"/>
          <w:lang w:eastAsia="zh-CN"/>
        </w:rPr>
        <w:t>三亚市崖州区统计局</w:t>
      </w:r>
      <w:r>
        <w:rPr>
          <w:rFonts w:hint="eastAsia" w:asciiTheme="minorEastAsia" w:hAnsiTheme="minorEastAsia" w:cstheme="minorEastAsia"/>
          <w:b w:val="0"/>
          <w:bCs w:val="0"/>
          <w:color w:val="auto"/>
          <w:sz w:val="84"/>
          <w:szCs w:val="84"/>
          <w:u w:val="none"/>
        </w:rPr>
        <w:t>部门预算</w:t>
      </w:r>
    </w:p>
    <w:p>
      <w:pPr>
        <w:ind w:firstLine="1680"/>
        <w:jc w:val="center"/>
        <w:rPr>
          <w:color w:val="auto"/>
          <w:sz w:val="84"/>
          <w:szCs w:val="84"/>
          <w:u w:val="none"/>
        </w:rPr>
      </w:pPr>
    </w:p>
    <w:p>
      <w:pPr>
        <w:ind w:firstLine="1680"/>
        <w:jc w:val="center"/>
        <w:rPr>
          <w:color w:val="auto"/>
          <w:sz w:val="84"/>
          <w:szCs w:val="84"/>
          <w:u w:val="none"/>
        </w:rPr>
      </w:pPr>
    </w:p>
    <w:p>
      <w:pPr>
        <w:ind w:firstLine="1680"/>
        <w:jc w:val="center"/>
        <w:rPr>
          <w:color w:val="auto"/>
          <w:sz w:val="84"/>
          <w:szCs w:val="84"/>
          <w:u w:val="none"/>
        </w:rPr>
      </w:pPr>
    </w:p>
    <w:p>
      <w:pPr>
        <w:ind w:firstLine="1680"/>
        <w:jc w:val="center"/>
        <w:rPr>
          <w:color w:val="auto"/>
          <w:sz w:val="84"/>
          <w:szCs w:val="84"/>
          <w:u w:val="none"/>
        </w:rPr>
      </w:pPr>
    </w:p>
    <w:p>
      <w:pPr>
        <w:ind w:firstLine="1680"/>
        <w:jc w:val="center"/>
        <w:rPr>
          <w:color w:val="auto"/>
          <w:sz w:val="84"/>
          <w:szCs w:val="84"/>
          <w:u w:val="none"/>
        </w:rPr>
      </w:pPr>
    </w:p>
    <w:p>
      <w:pPr>
        <w:jc w:val="center"/>
        <w:rPr>
          <w:color w:val="auto"/>
          <w:sz w:val="84"/>
          <w:szCs w:val="84"/>
          <w:u w:val="none"/>
        </w:rPr>
      </w:pPr>
    </w:p>
    <w:p>
      <w:pPr>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目录</w:t>
      </w:r>
    </w:p>
    <w:p>
      <w:pPr>
        <w:pStyle w:val="12"/>
        <w:numPr>
          <w:ilvl w:val="0"/>
          <w:numId w:val="1"/>
        </w:numPr>
        <w:ind w:firstLineChars="0"/>
        <w:jc w:val="left"/>
        <w:rPr>
          <w:rFonts w:hint="eastAsia" w:ascii="黑体" w:hAnsi="黑体" w:eastAsia="黑体" w:cs="黑体"/>
          <w:color w:val="auto"/>
          <w:sz w:val="32"/>
          <w:szCs w:val="32"/>
          <w:u w:val="none"/>
        </w:rPr>
      </w:pPr>
      <w:r>
        <w:rPr>
          <w:rFonts w:hint="eastAsia" w:ascii="黑体" w:hAnsi="黑体" w:eastAsia="黑体"/>
          <w:color w:val="auto"/>
          <w:sz w:val="32"/>
          <w:szCs w:val="32"/>
          <w:u w:val="none"/>
        </w:rPr>
        <w:t xml:space="preserve">  </w:t>
      </w:r>
      <w:r>
        <w:rPr>
          <w:rFonts w:hint="eastAsia" w:ascii="黑体" w:hAnsi="黑体" w:eastAsia="黑体" w:cs="黑体"/>
          <w:color w:val="auto"/>
          <w:sz w:val="32"/>
          <w:szCs w:val="32"/>
          <w:u w:val="none"/>
        </w:rPr>
        <w:t xml:space="preserve"> </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rPr>
        <w:t>概况</w:t>
      </w:r>
    </w:p>
    <w:p>
      <w:pPr>
        <w:pStyle w:val="12"/>
        <w:numPr>
          <w:ilvl w:val="0"/>
          <w:numId w:val="2"/>
        </w:numPr>
        <w:ind w:firstLineChars="0"/>
        <w:jc w:val="left"/>
        <w:rPr>
          <w:rFonts w:ascii="黑体" w:hAnsi="黑体" w:eastAsia="黑体"/>
          <w:color w:val="auto"/>
          <w:sz w:val="32"/>
          <w:szCs w:val="32"/>
          <w:u w:val="none"/>
        </w:rPr>
      </w:pPr>
      <w:r>
        <w:rPr>
          <w:rFonts w:hint="eastAsia" w:ascii="黑体" w:hAnsi="黑体" w:eastAsia="黑体"/>
          <w:color w:val="auto"/>
          <w:sz w:val="32"/>
          <w:szCs w:val="32"/>
          <w:u w:val="none"/>
        </w:rPr>
        <w:t>主要职能</w:t>
      </w:r>
    </w:p>
    <w:p>
      <w:pPr>
        <w:pStyle w:val="12"/>
        <w:numPr>
          <w:ilvl w:val="0"/>
          <w:numId w:val="2"/>
        </w:numPr>
        <w:ind w:firstLineChars="0"/>
        <w:jc w:val="left"/>
        <w:rPr>
          <w:rFonts w:ascii="黑体" w:hAnsi="黑体" w:eastAsia="黑体"/>
          <w:color w:val="auto"/>
          <w:sz w:val="32"/>
          <w:szCs w:val="32"/>
          <w:u w:val="none"/>
        </w:rPr>
      </w:pPr>
      <w:r>
        <w:rPr>
          <w:rFonts w:hint="eastAsia" w:ascii="黑体" w:hAnsi="黑体" w:eastAsia="黑体"/>
          <w:color w:val="auto"/>
          <w:sz w:val="32"/>
          <w:szCs w:val="32"/>
          <w:u w:val="none"/>
        </w:rPr>
        <w:t>部门预算单位构成</w:t>
      </w:r>
    </w:p>
    <w:p>
      <w:pPr>
        <w:pStyle w:val="12"/>
        <w:numPr>
          <w:ilvl w:val="0"/>
          <w:numId w:val="1"/>
        </w:numPr>
        <w:ind w:firstLineChars="0"/>
        <w:jc w:val="left"/>
        <w:rPr>
          <w:rFonts w:hint="eastAsia" w:ascii="黑体" w:hAnsi="黑体" w:eastAsia="黑体" w:cs="黑体"/>
          <w:color w:val="auto"/>
          <w:sz w:val="32"/>
          <w:szCs w:val="32"/>
          <w:u w:val="none"/>
        </w:rPr>
      </w:pPr>
      <w:r>
        <w:rPr>
          <w:rFonts w:hint="eastAsia" w:ascii="黑体" w:hAnsi="黑体" w:eastAsia="黑体"/>
          <w:color w:val="auto"/>
          <w:sz w:val="32"/>
          <w:szCs w:val="32"/>
          <w:u w:val="none"/>
        </w:rPr>
        <w:t xml:space="preserve"> </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hint="eastAsia" w:ascii="黑体" w:hAnsi="黑体" w:eastAsia="黑体" w:cs="黑体"/>
          <w:color w:val="auto"/>
          <w:sz w:val="32"/>
          <w:szCs w:val="32"/>
          <w:u w:val="none"/>
        </w:rPr>
        <w:t>年部门预算表</w:t>
      </w:r>
    </w:p>
    <w:p>
      <w:pPr>
        <w:pStyle w:val="12"/>
        <w:numPr>
          <w:ilvl w:val="0"/>
          <w:numId w:val="3"/>
        </w:numPr>
        <w:ind w:firstLineChars="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财政拨款收支总表</w:t>
      </w:r>
    </w:p>
    <w:p>
      <w:pPr>
        <w:pStyle w:val="12"/>
        <w:numPr>
          <w:ilvl w:val="0"/>
          <w:numId w:val="3"/>
        </w:numPr>
        <w:ind w:firstLineChars="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一般公共预算支出表</w:t>
      </w:r>
    </w:p>
    <w:p>
      <w:pPr>
        <w:pStyle w:val="12"/>
        <w:numPr>
          <w:ilvl w:val="0"/>
          <w:numId w:val="3"/>
        </w:numPr>
        <w:ind w:firstLineChars="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一般公共预算基本支出表</w:t>
      </w:r>
    </w:p>
    <w:p>
      <w:pPr>
        <w:pStyle w:val="12"/>
        <w:numPr>
          <w:ilvl w:val="0"/>
          <w:numId w:val="3"/>
        </w:numPr>
        <w:ind w:firstLineChars="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一般公共预算“三公”经费支出表</w:t>
      </w:r>
    </w:p>
    <w:p>
      <w:pPr>
        <w:pStyle w:val="12"/>
        <w:numPr>
          <w:ilvl w:val="0"/>
          <w:numId w:val="3"/>
        </w:numPr>
        <w:ind w:firstLineChars="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政府性基金预算支出表</w:t>
      </w:r>
      <w:bookmarkStart w:id="0" w:name="_GoBack"/>
      <w:bookmarkEnd w:id="0"/>
    </w:p>
    <w:p>
      <w:pPr>
        <w:pStyle w:val="12"/>
        <w:numPr>
          <w:ilvl w:val="0"/>
          <w:numId w:val="3"/>
        </w:numPr>
        <w:ind w:firstLineChars="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政府性基金预算“三公”经费支出表</w:t>
      </w:r>
    </w:p>
    <w:p>
      <w:pPr>
        <w:pStyle w:val="12"/>
        <w:numPr>
          <w:ilvl w:val="0"/>
          <w:numId w:val="3"/>
        </w:numPr>
        <w:ind w:firstLineChars="0"/>
        <w:jc w:val="left"/>
        <w:rPr>
          <w:rFonts w:ascii="黑体" w:hAnsi="黑体" w:eastAsia="黑体"/>
          <w:color w:val="auto"/>
          <w:sz w:val="32"/>
          <w:szCs w:val="32"/>
          <w:u w:val="none"/>
        </w:rPr>
      </w:pPr>
      <w:r>
        <w:rPr>
          <w:rFonts w:hint="eastAsia" w:ascii="仿宋_GB2312" w:hAnsi="仿宋_GB2312" w:eastAsia="仿宋_GB2312" w:cs="仿宋_GB2312"/>
          <w:color w:val="auto"/>
          <w:sz w:val="32"/>
          <w:szCs w:val="32"/>
          <w:u w:val="none"/>
        </w:rPr>
        <w:t>部门收支总表</w:t>
      </w:r>
    </w:p>
    <w:p>
      <w:pPr>
        <w:pStyle w:val="12"/>
        <w:numPr>
          <w:ilvl w:val="0"/>
          <w:numId w:val="3"/>
        </w:numPr>
        <w:ind w:firstLineChars="0"/>
        <w:jc w:val="left"/>
        <w:rPr>
          <w:rFonts w:ascii="黑体" w:hAnsi="黑体" w:eastAsia="黑体"/>
          <w:color w:val="auto"/>
          <w:sz w:val="32"/>
          <w:szCs w:val="32"/>
          <w:u w:val="none"/>
        </w:rPr>
      </w:pPr>
      <w:r>
        <w:rPr>
          <w:rFonts w:hint="eastAsia" w:ascii="仿宋_GB2312" w:hAnsi="仿宋_GB2312" w:eastAsia="仿宋_GB2312" w:cs="仿宋_GB2312"/>
          <w:color w:val="auto"/>
          <w:sz w:val="32"/>
          <w:szCs w:val="32"/>
          <w:u w:val="none"/>
        </w:rPr>
        <w:t>部门收入总表</w:t>
      </w:r>
    </w:p>
    <w:p>
      <w:pPr>
        <w:pStyle w:val="12"/>
        <w:numPr>
          <w:ilvl w:val="0"/>
          <w:numId w:val="3"/>
        </w:numPr>
        <w:ind w:firstLineChars="0"/>
        <w:jc w:val="left"/>
        <w:rPr>
          <w:rFonts w:ascii="黑体" w:hAnsi="黑体" w:eastAsia="黑体"/>
          <w:color w:val="auto"/>
          <w:sz w:val="32"/>
          <w:szCs w:val="32"/>
          <w:u w:val="none"/>
        </w:rPr>
      </w:pPr>
      <w:r>
        <w:rPr>
          <w:rFonts w:hint="eastAsia" w:ascii="仿宋_GB2312" w:hAnsi="仿宋_GB2312" w:eastAsia="仿宋_GB2312" w:cs="仿宋_GB2312"/>
          <w:color w:val="auto"/>
          <w:sz w:val="32"/>
          <w:szCs w:val="32"/>
          <w:u w:val="none"/>
        </w:rPr>
        <w:t>部门支出总表</w:t>
      </w:r>
    </w:p>
    <w:p>
      <w:pPr>
        <w:pStyle w:val="12"/>
        <w:numPr>
          <w:ilvl w:val="0"/>
          <w:numId w:val="0"/>
        </w:numPr>
        <w:tabs>
          <w:tab w:val="left" w:pos="1234"/>
        </w:tabs>
        <w:ind w:leftChars="0"/>
        <w:jc w:val="left"/>
        <w:rPr>
          <w:rFonts w:ascii="黑体" w:hAnsi="黑体" w:eastAsia="黑体"/>
          <w:color w:val="auto"/>
          <w:sz w:val="32"/>
          <w:szCs w:val="32"/>
          <w:u w:val="none"/>
        </w:rPr>
      </w:pPr>
      <w:r>
        <w:rPr>
          <w:rFonts w:hint="eastAsia" w:ascii="仿宋_GB2312" w:hAnsi="仿宋_GB2312" w:eastAsia="仿宋_GB2312" w:cs="仿宋_GB2312"/>
          <w:color w:val="auto"/>
          <w:sz w:val="32"/>
          <w:szCs w:val="32"/>
          <w:u w:val="none"/>
          <w:lang w:eastAsia="zh-CN"/>
        </w:rPr>
        <w:t>十、</w:t>
      </w:r>
      <w:r>
        <w:rPr>
          <w:rFonts w:hint="eastAsia" w:ascii="仿宋_GB2312" w:hAnsi="仿宋_GB2312" w:eastAsia="仿宋_GB2312" w:cs="仿宋_GB2312"/>
          <w:color w:val="auto"/>
          <w:sz w:val="32"/>
          <w:szCs w:val="32"/>
          <w:u w:val="none"/>
        </w:rPr>
        <w:t>项目支出绩效信息表</w:t>
      </w:r>
    </w:p>
    <w:p>
      <w:pPr>
        <w:pStyle w:val="12"/>
        <w:numPr>
          <w:ilvl w:val="0"/>
          <w:numId w:val="0"/>
        </w:numPr>
        <w:ind w:leftChars="0"/>
        <w:jc w:val="left"/>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highlight w:val="none"/>
          <w:u w:val="none"/>
          <w:lang w:eastAsia="zh-CN"/>
        </w:rPr>
        <w:t>十一、省</w:t>
      </w:r>
      <w:r>
        <w:rPr>
          <w:rFonts w:hint="eastAsia" w:ascii="仿宋_GB2312" w:hAnsi="仿宋_GB2312" w:eastAsia="仿宋_GB2312" w:cs="仿宋_GB2312"/>
          <w:color w:val="auto"/>
          <w:sz w:val="32"/>
          <w:szCs w:val="32"/>
          <w:highlight w:val="none"/>
          <w:u w:val="none"/>
        </w:rPr>
        <w:t>级</w:t>
      </w:r>
      <w:r>
        <w:rPr>
          <w:rFonts w:hint="eastAsia" w:ascii="仿宋_GB2312" w:hAnsi="仿宋_GB2312" w:eastAsia="仿宋_GB2312" w:cs="仿宋_GB2312"/>
          <w:color w:val="auto"/>
          <w:sz w:val="32"/>
          <w:szCs w:val="32"/>
          <w:u w:val="none"/>
        </w:rPr>
        <w:t>财力安排的专项转移支付预算表</w:t>
      </w:r>
    </w:p>
    <w:p>
      <w:pPr>
        <w:pStyle w:val="12"/>
        <w:numPr>
          <w:ilvl w:val="0"/>
          <w:numId w:val="1"/>
        </w:numPr>
        <w:ind w:firstLineChars="0"/>
        <w:jc w:val="left"/>
        <w:rPr>
          <w:rFonts w:hint="eastAsia" w:ascii="黑体" w:hAnsi="黑体" w:eastAsia="黑体" w:cs="黑体"/>
          <w:color w:val="auto"/>
          <w:sz w:val="32"/>
          <w:szCs w:val="32"/>
          <w:u w:val="none"/>
        </w:rPr>
      </w:pPr>
      <w:r>
        <w:rPr>
          <w:rFonts w:hint="eastAsia" w:ascii="黑体" w:hAnsi="黑体" w:eastAsia="黑体"/>
          <w:color w:val="auto"/>
          <w:sz w:val="32"/>
          <w:szCs w:val="32"/>
          <w:u w:val="none"/>
        </w:rPr>
        <w:t xml:space="preserve"> </w:t>
      </w:r>
      <w:r>
        <w:rPr>
          <w:rFonts w:hint="eastAsia" w:ascii="黑体" w:hAnsi="黑体" w:eastAsia="黑体" w:cs="黑体"/>
          <w:color w:val="auto"/>
          <w:sz w:val="32"/>
          <w:szCs w:val="32"/>
          <w:u w:val="none"/>
        </w:rPr>
        <w:t xml:space="preserve"> </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hint="eastAsia" w:ascii="黑体" w:hAnsi="黑体" w:eastAsia="黑体" w:cs="黑体"/>
          <w:color w:val="auto"/>
          <w:sz w:val="32"/>
          <w:szCs w:val="32"/>
          <w:u w:val="none"/>
        </w:rPr>
        <w:t>年部门预算情况说明</w:t>
      </w:r>
    </w:p>
    <w:p>
      <w:pPr>
        <w:pStyle w:val="12"/>
        <w:numPr>
          <w:ilvl w:val="0"/>
          <w:numId w:val="1"/>
        </w:numPr>
        <w:ind w:firstLineChars="0"/>
        <w:jc w:val="left"/>
        <w:rPr>
          <w:rFonts w:ascii="黑体" w:hAnsi="黑体" w:eastAsia="黑体"/>
          <w:color w:val="auto"/>
          <w:sz w:val="32"/>
          <w:szCs w:val="32"/>
          <w:u w:val="none"/>
        </w:rPr>
      </w:pPr>
      <w:r>
        <w:rPr>
          <w:rFonts w:hint="eastAsia" w:ascii="黑体" w:hAnsi="黑体" w:eastAsia="黑体"/>
          <w:color w:val="auto"/>
          <w:sz w:val="32"/>
          <w:szCs w:val="32"/>
          <w:u w:val="none"/>
        </w:rPr>
        <w:t xml:space="preserve">   名词解释</w:t>
      </w:r>
    </w:p>
    <w:p>
      <w:pPr>
        <w:pStyle w:val="12"/>
        <w:numPr>
          <w:ilvl w:val="0"/>
          <w:numId w:val="0"/>
        </w:numPr>
        <w:ind w:leftChars="0"/>
        <w:jc w:val="left"/>
        <w:rPr>
          <w:rFonts w:ascii="黑体" w:hAnsi="黑体" w:eastAsia="黑体"/>
          <w:color w:val="auto"/>
          <w:sz w:val="32"/>
          <w:szCs w:val="32"/>
          <w:u w:val="none"/>
        </w:rPr>
      </w:pPr>
    </w:p>
    <w:p>
      <w:pPr>
        <w:pStyle w:val="12"/>
        <w:ind w:left="1320" w:firstLine="0" w:firstLineChars="0"/>
        <w:jc w:val="left"/>
        <w:rPr>
          <w:rFonts w:ascii="黑体" w:hAnsi="黑体" w:eastAsia="黑体"/>
          <w:color w:val="auto"/>
          <w:sz w:val="32"/>
          <w:szCs w:val="32"/>
          <w:u w:val="none"/>
        </w:rPr>
      </w:pPr>
    </w:p>
    <w:p>
      <w:pPr>
        <w:pStyle w:val="12"/>
        <w:keepNext w:val="0"/>
        <w:keepLines w:val="0"/>
        <w:pageBreakBefore w:val="0"/>
        <w:numPr>
          <w:ilvl w:val="0"/>
          <w:numId w:val="4"/>
        </w:numPr>
        <w:kinsoku/>
        <w:wordWrap/>
        <w:overflowPunct/>
        <w:topLinePunct w:val="0"/>
        <w:bidi w:val="0"/>
        <w:snapToGrid/>
        <w:spacing w:line="560" w:lineRule="exact"/>
        <w:ind w:firstLineChars="0"/>
        <w:jc w:val="center"/>
        <w:textAlignment w:val="auto"/>
        <w:rPr>
          <w:rFonts w:ascii="仿宋_GB2312" w:hAnsi="仿宋_GB2312" w:eastAsia="仿宋_GB2312" w:cs="仿宋_GB2312"/>
          <w:color w:val="auto"/>
          <w:sz w:val="32"/>
          <w:szCs w:val="32"/>
          <w:u w:val="none"/>
        </w:rPr>
      </w:pPr>
      <w:r>
        <w:rPr>
          <w:rFonts w:hint="eastAsia" w:ascii="黑体" w:hAnsi="黑体" w:eastAsia="黑体"/>
          <w:color w:val="auto"/>
          <w:sz w:val="32"/>
          <w:szCs w:val="32"/>
          <w:u w:val="none"/>
        </w:rPr>
        <w:t xml:space="preserve"> </w:t>
      </w:r>
      <w:r>
        <w:rPr>
          <w:rFonts w:hint="eastAsia" w:ascii="黑体" w:hAnsi="黑体" w:eastAsia="黑体" w:cs="黑体"/>
          <w:color w:val="auto"/>
          <w:sz w:val="32"/>
          <w:szCs w:val="32"/>
          <w:u w:val="none"/>
        </w:rPr>
        <w:t xml:space="preserve"> </w:t>
      </w:r>
      <w:r>
        <w:rPr>
          <w:rFonts w:hint="eastAsia" w:ascii="黑体" w:hAnsi="黑体" w:eastAsia="黑体" w:cs="黑体"/>
          <w:color w:val="auto"/>
          <w:sz w:val="32"/>
          <w:szCs w:val="32"/>
          <w:u w:val="none"/>
          <w:lang w:eastAsia="zh-CN"/>
        </w:rPr>
        <w:t>三亚市崖州区统计局概况</w:t>
      </w:r>
    </w:p>
    <w:p>
      <w:pPr>
        <w:keepNext w:val="0"/>
        <w:keepLines w:val="0"/>
        <w:pageBreakBefore w:val="0"/>
        <w:kinsoku/>
        <w:wordWrap/>
        <w:overflowPunct/>
        <w:topLinePunct w:val="0"/>
        <w:bidi w:val="0"/>
        <w:snapToGrid/>
        <w:spacing w:line="560" w:lineRule="exact"/>
        <w:jc w:val="left"/>
        <w:textAlignment w:val="auto"/>
        <w:rPr>
          <w:rFonts w:ascii="仿宋_GB2312" w:hAnsi="仿宋_GB2312" w:eastAsia="仿宋_GB2312" w:cs="仿宋_GB2312"/>
          <w:color w:val="auto"/>
          <w:sz w:val="32"/>
          <w:szCs w:val="32"/>
          <w:u w:val="none"/>
        </w:rPr>
      </w:pPr>
    </w:p>
    <w:p>
      <w:pPr>
        <w:pStyle w:val="12"/>
        <w:keepNext w:val="0"/>
        <w:keepLines w:val="0"/>
        <w:pageBreakBefore w:val="0"/>
        <w:numPr>
          <w:ilvl w:val="0"/>
          <w:numId w:val="5"/>
        </w:numPr>
        <w:kinsoku/>
        <w:wordWrap/>
        <w:overflowPunct/>
        <w:topLinePunct w:val="0"/>
        <w:bidi w:val="0"/>
        <w:snapToGrid/>
        <w:spacing w:line="560" w:lineRule="exact"/>
        <w:ind w:firstLineChars="0"/>
        <w:jc w:val="left"/>
        <w:textAlignment w:val="auto"/>
        <w:rPr>
          <w:rFonts w:hint="eastAsia" w:ascii="仿宋_GB2312" w:hAnsi="仿宋_GB2312" w:eastAsia="仿宋_GB2312" w:cs="仿宋_GB2312"/>
          <w:color w:val="auto"/>
          <w:sz w:val="32"/>
          <w:szCs w:val="32"/>
          <w:u w:val="none"/>
          <w:shd w:val="clear" w:fill="FFFFFF"/>
        </w:rPr>
      </w:pPr>
      <w:r>
        <w:rPr>
          <w:rFonts w:hint="eastAsia" w:ascii="黑体" w:hAnsi="黑体" w:eastAsia="黑体" w:cs="仿宋_GB2312"/>
          <w:color w:val="auto"/>
          <w:sz w:val="32"/>
          <w:szCs w:val="32"/>
          <w:u w:val="none"/>
        </w:rPr>
        <w:t>主要职能</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黑体" w:eastAsia="仿宋_GB2312" w:cs="仿宋_GB2312"/>
          <w:color w:val="auto"/>
          <w:sz w:val="32"/>
          <w:szCs w:val="32"/>
          <w:lang w:eastAsia="zh-CN"/>
        </w:rPr>
        <w:t>贯彻落实党和国家、</w:t>
      </w:r>
      <w:r>
        <w:rPr>
          <w:rFonts w:hint="eastAsia" w:ascii="仿宋_GB2312" w:hAnsi="仿宋_GB2312" w:eastAsia="仿宋_GB2312" w:cs="仿宋_GB2312"/>
          <w:color w:val="auto"/>
          <w:sz w:val="32"/>
          <w:szCs w:val="32"/>
          <w:u w:val="none"/>
          <w:shd w:val="clear" w:fill="FFFFFF"/>
        </w:rPr>
        <w:t>省市有关统计工作的方针政策、法律法规,执行市委市政府、区委区政府的决策部署和中国(海南)自由贸易试验区、中国特色自由贸易港的政策措施。</w:t>
      </w:r>
    </w:p>
    <w:p>
      <w:pPr>
        <w:pStyle w:val="12"/>
        <w:keepNext w:val="0"/>
        <w:keepLines w:val="0"/>
        <w:pageBreakBefore w:val="0"/>
        <w:numPr>
          <w:ilvl w:val="0"/>
          <w:numId w:val="6"/>
        </w:numPr>
        <w:kinsoku/>
        <w:wordWrap/>
        <w:overflowPunct/>
        <w:topLinePunct w:val="0"/>
        <w:bidi w:val="0"/>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fill="FFFFFF"/>
        </w:rPr>
        <w:t>研究拟订并组织实施全区统计工作的规划和措施,研究提出中国(海南)自由贸易试验区、中国特色自由贸易港统计改革工作方面的意见和建议。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u w:val="none"/>
          <w:shd w:val="clear" w:fill="FFFFFF"/>
        </w:rPr>
      </w:pPr>
      <w:r>
        <w:rPr>
          <w:rFonts w:hint="eastAsia" w:ascii="仿宋_GB2312" w:hAnsi="仿宋_GB2312" w:eastAsia="仿宋_GB2312" w:cs="仿宋_GB2312"/>
          <w:color w:val="auto"/>
          <w:sz w:val="32"/>
          <w:szCs w:val="32"/>
          <w:u w:val="none"/>
          <w:shd w:val="clear" w:fill="FFFFFF"/>
        </w:rPr>
        <w:t>(三)按职责权限建立健全本区国民经济核算体系,根据国民经济核算制度,组织实施本区投入产出调查,核算本区地区生产总值,汇编提供国民经济核算资料。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u w:val="none"/>
          <w:shd w:val="clear" w:fill="FFFFFF"/>
        </w:rPr>
      </w:pPr>
      <w:r>
        <w:rPr>
          <w:rFonts w:hint="eastAsia" w:ascii="仿宋_GB2312" w:hAnsi="仿宋_GB2312" w:eastAsia="仿宋_GB2312" w:cs="仿宋_GB2312"/>
          <w:color w:val="auto"/>
          <w:sz w:val="32"/>
          <w:szCs w:val="32"/>
          <w:u w:val="none"/>
          <w:shd w:val="clear" w:fill="FFFFFF"/>
        </w:rPr>
        <w:t>(四)牵头组织有关部门拟订重大区情区力普查计划、方案,负责组织实施重大区情区力普查和调查,汇总、整理和提供统计数据。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u w:val="none"/>
          <w:shd w:val="clear" w:fill="FFFFFF"/>
        </w:rPr>
      </w:pPr>
      <w:r>
        <w:rPr>
          <w:rFonts w:hint="eastAsia" w:ascii="仿宋_GB2312" w:hAnsi="仿宋_GB2312" w:eastAsia="仿宋_GB2312" w:cs="仿宋_GB2312"/>
          <w:color w:val="auto"/>
          <w:sz w:val="32"/>
          <w:szCs w:val="32"/>
          <w:u w:val="none"/>
          <w:shd w:val="clear" w:fill="FFFFFF"/>
        </w:rPr>
        <w:t>(五)根据国家统计调查制度,组织实施全区统计调查,收集、汇总、整理和提供统计数据,定期发布全区国民经济和社会发展情况的统计信息。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fill="FFFFFF"/>
        </w:rPr>
        <w:t>(六)对全区国民经济和社会发展等情况进行统计分析、统计预测和统计监督,负责向区委、区政府、市统计局以及有关部门提供统计信息和咨询建议。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fill="FFFFFF"/>
        </w:rPr>
        <w:t>(七)审批各部门的统计调查项目、调查方案;指导区直各部门及各村(社区)、居统计基层基础建设;指导、监督区直各部门及各村(社区)、居统计工作。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fill="FFFFFF"/>
        </w:rPr>
        <w:t>(八)建立健全统计数据质量审核、监控和评估制度,开展对重要统计数据的审核、监控和评估。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fill="FFFFFF"/>
        </w:rPr>
        <w:t>(九)负责全区统计普法,对全区统计执法工作进行监督、指导和协调,预防和查处统计造假、弄虚作假;配合上级开展统计督察工作;监督管理全区统计专项经费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fill="FFFFFF"/>
        </w:rPr>
        <w:t>(十)组织指导全区统计人员的专业培训工作。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fill="FFFFFF"/>
        </w:rPr>
        <w:t>(十一)负责全区统计信息自动化系统和统计数据库系统的管理工作,指导相关部门做好统计信息化系统建设。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fill="FFFFFF"/>
        </w:rPr>
        <w:t>(十二)完成区委、区政府和上级部门交办的其他工作任务。</w:t>
      </w:r>
    </w:p>
    <w:p>
      <w:pPr>
        <w:pStyle w:val="12"/>
        <w:keepNext w:val="0"/>
        <w:keepLines w:val="0"/>
        <w:pageBreakBefore w:val="0"/>
        <w:numPr>
          <w:ilvl w:val="0"/>
          <w:numId w:val="5"/>
        </w:numPr>
        <w:kinsoku/>
        <w:wordWrap/>
        <w:overflowPunct/>
        <w:topLinePunct w:val="0"/>
        <w:bidi w:val="0"/>
        <w:snapToGrid/>
        <w:spacing w:line="560" w:lineRule="exact"/>
        <w:ind w:firstLineChars="0"/>
        <w:jc w:val="left"/>
        <w:textAlignment w:val="auto"/>
        <w:rPr>
          <w:rFonts w:ascii="黑体" w:hAnsi="黑体" w:eastAsia="黑体" w:cs="仿宋_GB2312"/>
          <w:color w:val="auto"/>
          <w:sz w:val="32"/>
          <w:szCs w:val="32"/>
          <w:u w:val="none"/>
        </w:rPr>
      </w:pPr>
      <w:r>
        <w:rPr>
          <w:rFonts w:hint="eastAsia" w:ascii="黑体" w:hAnsi="黑体" w:eastAsia="黑体" w:cs="仿宋_GB2312"/>
          <w:color w:val="auto"/>
          <w:sz w:val="32"/>
          <w:szCs w:val="32"/>
          <w:u w:val="none"/>
        </w:rPr>
        <w:t>部门预算单位构成</w:t>
      </w:r>
    </w:p>
    <w:p>
      <w:pPr>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黑体" w:eastAsia="仿宋_GB2312" w:cs="仿宋_GB2312"/>
          <w:color w:val="auto"/>
          <w:sz w:val="32"/>
          <w:szCs w:val="32"/>
          <w:u w:val="none"/>
          <w:lang w:eastAsia="zh-CN"/>
        </w:rPr>
      </w:pPr>
      <w:r>
        <w:rPr>
          <w:rFonts w:hint="eastAsia" w:ascii="仿宋_GB2312" w:hAnsi="黑体" w:eastAsia="仿宋_GB2312" w:cs="仿宋_GB2312"/>
          <w:color w:val="auto"/>
          <w:sz w:val="32"/>
          <w:szCs w:val="32"/>
          <w:u w:val="none"/>
        </w:rPr>
        <w:t>纳入</w:t>
      </w:r>
      <w:r>
        <w:rPr>
          <w:rFonts w:hint="eastAsia" w:ascii="仿宋_GB2312" w:hAnsi="黑体" w:eastAsia="仿宋_GB2312" w:cs="仿宋_GB2312"/>
          <w:color w:val="auto"/>
          <w:sz w:val="32"/>
          <w:szCs w:val="32"/>
          <w:u w:val="none"/>
          <w:lang w:val="en-US" w:eastAsia="zh-CN"/>
        </w:rPr>
        <w:t>三亚市崖州区统计局2020</w:t>
      </w:r>
      <w:r>
        <w:rPr>
          <w:rFonts w:hint="eastAsia" w:ascii="仿宋_GB2312" w:hAnsi="黑体" w:eastAsia="仿宋_GB2312" w:cs="仿宋_GB2312"/>
          <w:color w:val="auto"/>
          <w:sz w:val="32"/>
          <w:szCs w:val="32"/>
          <w:u w:val="none"/>
        </w:rPr>
        <w:t>年部门预算编制范围的二级预算单位包括：</w:t>
      </w:r>
      <w:r>
        <w:rPr>
          <w:rFonts w:hint="eastAsia" w:ascii="仿宋_GB2312" w:hAnsi="黑体" w:eastAsia="仿宋_GB2312" w:cs="仿宋_GB2312"/>
          <w:color w:val="auto"/>
          <w:sz w:val="32"/>
          <w:szCs w:val="32"/>
          <w:u w:val="none"/>
          <w:lang w:eastAsia="zh-CN"/>
        </w:rPr>
        <w:t>三亚市崖州区统计局本级。</w:t>
      </w:r>
    </w:p>
    <w:p>
      <w:pPr>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黑体" w:eastAsia="仿宋_GB2312" w:cs="仿宋_GB2312"/>
          <w:color w:val="auto"/>
          <w:sz w:val="32"/>
          <w:szCs w:val="32"/>
          <w:u w:val="none"/>
          <w:lang w:val="en-US" w:eastAsia="zh-CN"/>
        </w:rPr>
      </w:pPr>
      <w:r>
        <w:rPr>
          <w:rFonts w:hint="eastAsia" w:ascii="仿宋_GB2312" w:hAnsi="黑体" w:eastAsia="仿宋_GB2312" w:cs="仿宋_GB2312"/>
          <w:color w:val="auto"/>
          <w:sz w:val="32"/>
          <w:szCs w:val="32"/>
          <w:u w:val="none"/>
          <w:lang w:eastAsia="zh-CN"/>
        </w:rPr>
        <w:t>三亚市崖州区统计局不设内部职能机构，核定行政编制</w:t>
      </w:r>
      <w:r>
        <w:rPr>
          <w:rFonts w:hint="eastAsia" w:ascii="仿宋_GB2312" w:hAnsi="黑体" w:eastAsia="仿宋_GB2312" w:cs="仿宋_GB2312"/>
          <w:color w:val="auto"/>
          <w:sz w:val="32"/>
          <w:szCs w:val="32"/>
          <w:u w:val="none"/>
          <w:lang w:val="en-US" w:eastAsia="zh-CN"/>
        </w:rPr>
        <w:t>4人，实有3人。区统计局所属事业单位的设置、职责和编制事项另行规定。</w:t>
      </w:r>
    </w:p>
    <w:p>
      <w:pPr>
        <w:keepNext w:val="0"/>
        <w:keepLines w:val="0"/>
        <w:pageBreakBefore w:val="0"/>
        <w:kinsoku/>
        <w:wordWrap/>
        <w:overflowPunct/>
        <w:topLinePunct w:val="0"/>
        <w:bidi w:val="0"/>
        <w:snapToGrid/>
        <w:spacing w:line="560" w:lineRule="exact"/>
        <w:ind w:firstLine="800" w:firstLineChars="250"/>
        <w:textAlignment w:val="auto"/>
        <w:rPr>
          <w:rFonts w:hint="default" w:ascii="仿宋_GB2312" w:hAnsi="黑体" w:eastAsia="仿宋_GB2312" w:cs="仿宋_GB2312"/>
          <w:color w:val="auto"/>
          <w:sz w:val="32"/>
          <w:szCs w:val="32"/>
          <w:u w:val="none"/>
          <w:lang w:val="en-US" w:eastAsia="zh-CN"/>
        </w:rPr>
      </w:pPr>
    </w:p>
    <w:p>
      <w:pPr>
        <w:keepNext w:val="0"/>
        <w:keepLines w:val="0"/>
        <w:pageBreakBefore w:val="0"/>
        <w:kinsoku/>
        <w:wordWrap/>
        <w:overflowPunct/>
        <w:topLinePunct w:val="0"/>
        <w:bidi w:val="0"/>
        <w:snapToGrid/>
        <w:spacing w:line="560" w:lineRule="exact"/>
        <w:ind w:left="800"/>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xml:space="preserve">第二部分  </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hint="eastAsia" w:ascii="黑体" w:hAnsi="黑体" w:eastAsia="黑体" w:cs="黑体"/>
          <w:color w:val="auto"/>
          <w:sz w:val="32"/>
          <w:szCs w:val="32"/>
          <w:u w:val="none"/>
        </w:rPr>
        <w:t>年部门预算表</w:t>
      </w:r>
    </w:p>
    <w:p>
      <w:pPr>
        <w:keepNext w:val="0"/>
        <w:keepLines w:val="0"/>
        <w:pageBreakBefore w:val="0"/>
        <w:kinsoku/>
        <w:wordWrap/>
        <w:overflowPunct/>
        <w:topLinePunct w:val="0"/>
        <w:bidi w:val="0"/>
        <w:snapToGrid/>
        <w:spacing w:line="560" w:lineRule="exact"/>
        <w:ind w:left="800"/>
        <w:jc w:val="left"/>
        <w:textAlignment w:val="auto"/>
        <w:rPr>
          <w:rFonts w:ascii="黑体" w:hAnsi="黑体" w:eastAsia="黑体"/>
          <w:color w:val="auto"/>
          <w:sz w:val="32"/>
          <w:szCs w:val="32"/>
          <w:u w:val="none"/>
        </w:rPr>
      </w:pPr>
    </w:p>
    <w:p>
      <w:pPr>
        <w:keepNext w:val="0"/>
        <w:keepLines w:val="0"/>
        <w:pageBreakBefore w:val="0"/>
        <w:kinsoku/>
        <w:wordWrap/>
        <w:overflowPunct/>
        <w:topLinePunct w:val="0"/>
        <w:bidi w:val="0"/>
        <w:snapToGrid/>
        <w:spacing w:line="560" w:lineRule="exact"/>
        <w:ind w:left="800"/>
        <w:jc w:val="center"/>
        <w:textAlignment w:val="auto"/>
        <w:rPr>
          <w:rFonts w:ascii="仿宋_GB2312" w:hAnsi="黑体" w:eastAsia="仿宋_GB2312"/>
          <w:b/>
          <w:color w:val="auto"/>
          <w:sz w:val="32"/>
          <w:szCs w:val="32"/>
          <w:u w:val="none"/>
        </w:rPr>
      </w:pPr>
      <w:r>
        <w:rPr>
          <w:rFonts w:hint="eastAsia" w:ascii="仿宋_GB2312" w:hAnsi="黑体" w:eastAsia="仿宋_GB2312"/>
          <w:b/>
          <w:color w:val="auto"/>
          <w:sz w:val="32"/>
          <w:szCs w:val="32"/>
          <w:u w:val="none"/>
        </w:rPr>
        <w:t>（此部分内容即为部门预算公开表）</w:t>
      </w:r>
    </w:p>
    <w:p>
      <w:pPr>
        <w:keepNext w:val="0"/>
        <w:keepLines w:val="0"/>
        <w:pageBreakBefore w:val="0"/>
        <w:kinsoku/>
        <w:wordWrap/>
        <w:overflowPunct/>
        <w:topLinePunct w:val="0"/>
        <w:bidi w:val="0"/>
        <w:snapToGrid/>
        <w:spacing w:line="560" w:lineRule="exact"/>
        <w:textAlignment w:val="auto"/>
        <w:rPr>
          <w:rFonts w:ascii="黑体" w:hAnsi="黑体" w:eastAsia="黑体"/>
          <w:color w:val="auto"/>
          <w:sz w:val="32"/>
          <w:szCs w:val="32"/>
          <w:u w:val="none"/>
        </w:rPr>
      </w:pPr>
    </w:p>
    <w:p>
      <w:pPr>
        <w:keepNext w:val="0"/>
        <w:keepLines w:val="0"/>
        <w:pageBreakBefore w:val="0"/>
        <w:kinsoku/>
        <w:wordWrap/>
        <w:overflowPunct/>
        <w:topLinePunct w:val="0"/>
        <w:bidi w:val="0"/>
        <w:snapToGrid/>
        <w:spacing w:line="560" w:lineRule="exact"/>
        <w:jc w:val="center"/>
        <w:textAlignment w:val="auto"/>
        <w:rPr>
          <w:rFonts w:ascii="黑体" w:hAnsi="黑体" w:eastAsia="黑体"/>
          <w:color w:val="auto"/>
          <w:sz w:val="32"/>
          <w:szCs w:val="32"/>
          <w:u w:val="none"/>
        </w:rPr>
      </w:pPr>
      <w:r>
        <w:rPr>
          <w:rFonts w:hint="eastAsia" w:ascii="黑体" w:hAnsi="黑体" w:eastAsia="黑体"/>
          <w:color w:val="auto"/>
          <w:sz w:val="32"/>
          <w:szCs w:val="32"/>
          <w:u w:val="none"/>
        </w:rPr>
        <w:t xml:space="preserve">第三部分  </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hint="eastAsia" w:ascii="黑体" w:hAnsi="黑体" w:eastAsia="黑体"/>
          <w:color w:val="auto"/>
          <w:sz w:val="32"/>
          <w:szCs w:val="32"/>
          <w:u w:val="none"/>
        </w:rPr>
        <w:t>年部门预算情况说明</w:t>
      </w:r>
    </w:p>
    <w:p>
      <w:pPr>
        <w:keepNext w:val="0"/>
        <w:keepLines w:val="0"/>
        <w:pageBreakBefore w:val="0"/>
        <w:kinsoku/>
        <w:wordWrap/>
        <w:overflowPunct/>
        <w:topLinePunct w:val="0"/>
        <w:bidi w:val="0"/>
        <w:snapToGrid/>
        <w:spacing w:line="560" w:lineRule="exact"/>
        <w:jc w:val="center"/>
        <w:textAlignment w:val="auto"/>
        <w:rPr>
          <w:rFonts w:ascii="黑体" w:hAnsi="黑体" w:eastAsia="黑体"/>
          <w:color w:val="auto"/>
          <w:sz w:val="32"/>
          <w:szCs w:val="32"/>
          <w:u w:val="none"/>
        </w:rPr>
      </w:pPr>
    </w:p>
    <w:p>
      <w:pPr>
        <w:keepNext w:val="0"/>
        <w:keepLines w:val="0"/>
        <w:pageBreakBefore w:val="0"/>
        <w:kinsoku/>
        <w:wordWrap/>
        <w:overflowPunct/>
        <w:topLinePunct w:val="0"/>
        <w:bidi w:val="0"/>
        <w:snapToGrid/>
        <w:spacing w:line="560" w:lineRule="exact"/>
        <w:ind w:firstLine="640" w:firstLineChars="200"/>
        <w:jc w:val="left"/>
        <w:textAlignment w:val="auto"/>
        <w:rPr>
          <w:rFonts w:ascii="黑体" w:hAnsi="黑体" w:eastAsia="黑体"/>
          <w:color w:val="auto"/>
          <w:sz w:val="32"/>
          <w:szCs w:val="32"/>
          <w:u w:val="none"/>
        </w:rPr>
      </w:pPr>
      <w:r>
        <w:rPr>
          <w:rFonts w:hint="eastAsia" w:ascii="黑体" w:hAnsi="黑体" w:eastAsia="黑体"/>
          <w:color w:val="auto"/>
          <w:sz w:val="32"/>
          <w:szCs w:val="32"/>
          <w:u w:val="none"/>
        </w:rPr>
        <w:t>一、关于</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hint="eastAsia" w:ascii="黑体" w:hAnsi="黑体" w:eastAsia="黑体"/>
          <w:color w:val="auto"/>
          <w:sz w:val="32"/>
          <w:szCs w:val="32"/>
          <w:u w:val="none"/>
        </w:rPr>
        <w:t>年财政拨款收支预算情况的总体说明</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rPr>
        <w:t>年财政拨款收支总预</w:t>
      </w:r>
      <w:r>
        <w:rPr>
          <w:rFonts w:hint="eastAsia" w:ascii="仿宋_GB2312" w:hAnsi="仿宋_GB2312" w:eastAsia="仿宋_GB2312" w:cs="仿宋_GB2312"/>
          <w:color w:val="auto"/>
          <w:sz w:val="32"/>
          <w:szCs w:val="32"/>
          <w:u w:val="none"/>
          <w:lang w:eastAsia="zh-CN"/>
        </w:rPr>
        <w:t>算为</w:t>
      </w:r>
      <w:r>
        <w:rPr>
          <w:rFonts w:hint="eastAsia" w:ascii="仿宋_GB2312" w:hAnsi="仿宋_GB2312" w:eastAsia="仿宋_GB2312" w:cs="仿宋_GB2312"/>
          <w:color w:val="auto"/>
          <w:sz w:val="32"/>
          <w:szCs w:val="32"/>
          <w:u w:val="none"/>
          <w:lang w:val="en-US" w:eastAsia="zh-CN"/>
        </w:rPr>
        <w:t>212.99</w:t>
      </w:r>
      <w:r>
        <w:rPr>
          <w:rFonts w:hint="eastAsia" w:ascii="仿宋_GB2312" w:hAnsi="仿宋_GB2312" w:eastAsia="仿宋_GB2312" w:cs="仿宋_GB2312"/>
          <w:color w:val="auto"/>
          <w:sz w:val="32"/>
          <w:szCs w:val="32"/>
          <w:u w:val="none"/>
        </w:rPr>
        <w:t>万元。其中，收入总计</w:t>
      </w:r>
      <w:r>
        <w:rPr>
          <w:rFonts w:hint="eastAsia" w:ascii="仿宋_GB2312" w:hAnsi="仿宋_GB2312" w:eastAsia="仿宋_GB2312" w:cs="仿宋_GB2312"/>
          <w:color w:val="auto"/>
          <w:sz w:val="32"/>
          <w:szCs w:val="32"/>
          <w:u w:val="none"/>
          <w:lang w:val="en-US" w:eastAsia="zh-CN"/>
        </w:rPr>
        <w:t>212.99</w:t>
      </w:r>
      <w:r>
        <w:rPr>
          <w:rFonts w:hint="eastAsia" w:ascii="仿宋_GB2312" w:hAnsi="仿宋_GB2312" w:eastAsia="仿宋_GB2312" w:cs="仿宋_GB2312"/>
          <w:color w:val="auto"/>
          <w:sz w:val="32"/>
          <w:szCs w:val="32"/>
          <w:u w:val="none"/>
        </w:rPr>
        <w:t>万元，包括一般公共预算本年收入</w:t>
      </w:r>
      <w:r>
        <w:rPr>
          <w:rFonts w:hint="eastAsia" w:ascii="仿宋_GB2312" w:hAnsi="仿宋_GB2312" w:eastAsia="仿宋_GB2312" w:cs="仿宋_GB2312"/>
          <w:color w:val="auto"/>
          <w:sz w:val="32"/>
          <w:szCs w:val="32"/>
          <w:u w:val="none"/>
          <w:lang w:val="en-US" w:eastAsia="zh-CN"/>
        </w:rPr>
        <w:t>212.99</w:t>
      </w:r>
      <w:r>
        <w:rPr>
          <w:rFonts w:hint="eastAsia" w:ascii="仿宋_GB2312" w:hAnsi="仿宋_GB2312" w:eastAsia="仿宋_GB2312" w:cs="仿宋_GB2312"/>
          <w:color w:val="auto"/>
          <w:sz w:val="32"/>
          <w:szCs w:val="32"/>
          <w:u w:val="none"/>
        </w:rPr>
        <w:t>万元、上年结转</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万元，政府性基金预算本年收入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万元、上年结转</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万元；支出总计</w:t>
      </w:r>
      <w:r>
        <w:rPr>
          <w:rFonts w:hint="eastAsia" w:ascii="仿宋_GB2312" w:hAnsi="仿宋_GB2312" w:eastAsia="仿宋_GB2312" w:cs="仿宋_GB2312"/>
          <w:color w:val="auto"/>
          <w:sz w:val="32"/>
          <w:szCs w:val="32"/>
          <w:u w:val="none"/>
          <w:lang w:val="en-US" w:eastAsia="zh-CN"/>
        </w:rPr>
        <w:t>212.99</w:t>
      </w:r>
      <w:r>
        <w:rPr>
          <w:rFonts w:hint="eastAsia" w:ascii="仿宋_GB2312" w:hAnsi="仿宋_GB2312" w:eastAsia="仿宋_GB2312" w:cs="仿宋_GB2312"/>
          <w:color w:val="auto"/>
          <w:sz w:val="32"/>
          <w:szCs w:val="32"/>
          <w:u w:val="none"/>
        </w:rPr>
        <w:t>万元，包括一般公共服务支出</w:t>
      </w:r>
      <w:r>
        <w:rPr>
          <w:rFonts w:hint="eastAsia" w:ascii="仿宋_GB2312" w:hAnsi="仿宋_GB2312" w:eastAsia="仿宋_GB2312" w:cs="仿宋_GB2312"/>
          <w:color w:val="auto"/>
          <w:sz w:val="32"/>
          <w:szCs w:val="32"/>
          <w:u w:val="none"/>
          <w:lang w:val="en-US" w:eastAsia="zh-CN"/>
        </w:rPr>
        <w:t>192.35</w:t>
      </w:r>
      <w:r>
        <w:rPr>
          <w:rFonts w:hint="eastAsia" w:ascii="仿宋_GB2312" w:hAnsi="仿宋_GB2312" w:eastAsia="仿宋_GB2312" w:cs="仿宋_GB2312"/>
          <w:color w:val="auto"/>
          <w:sz w:val="32"/>
          <w:szCs w:val="32"/>
          <w:u w:val="none"/>
        </w:rPr>
        <w:t>万元、社会保障和就业支出</w:t>
      </w:r>
      <w:r>
        <w:rPr>
          <w:rFonts w:hint="eastAsia" w:ascii="仿宋_GB2312" w:hAnsi="仿宋_GB2312" w:eastAsia="仿宋_GB2312" w:cs="仿宋_GB2312"/>
          <w:color w:val="auto"/>
          <w:sz w:val="32"/>
          <w:szCs w:val="32"/>
          <w:u w:val="none"/>
          <w:lang w:val="en-US" w:eastAsia="zh-CN"/>
        </w:rPr>
        <w:t>6.58</w:t>
      </w:r>
      <w:r>
        <w:rPr>
          <w:rFonts w:hint="eastAsia" w:ascii="仿宋_GB2312" w:hAnsi="仿宋_GB2312" w:eastAsia="仿宋_GB2312" w:cs="仿宋_GB2312"/>
          <w:color w:val="auto"/>
          <w:sz w:val="32"/>
          <w:szCs w:val="32"/>
          <w:u w:val="none"/>
        </w:rPr>
        <w:t>万元、卫生健康支出</w:t>
      </w:r>
      <w:r>
        <w:rPr>
          <w:rFonts w:hint="eastAsia" w:ascii="仿宋_GB2312" w:hAnsi="仿宋_GB2312" w:eastAsia="仿宋_GB2312" w:cs="仿宋_GB2312"/>
          <w:color w:val="auto"/>
          <w:sz w:val="32"/>
          <w:szCs w:val="32"/>
          <w:u w:val="none"/>
          <w:lang w:val="en-US" w:eastAsia="zh-CN"/>
        </w:rPr>
        <w:t>8.30</w:t>
      </w:r>
      <w:r>
        <w:rPr>
          <w:rFonts w:hint="eastAsia" w:ascii="仿宋_GB2312" w:hAnsi="仿宋_GB2312" w:eastAsia="仿宋_GB2312" w:cs="仿宋_GB2312"/>
          <w:color w:val="auto"/>
          <w:sz w:val="32"/>
          <w:szCs w:val="32"/>
          <w:u w:val="none"/>
        </w:rPr>
        <w:t>万元、住房保障支出</w:t>
      </w:r>
      <w:r>
        <w:rPr>
          <w:rFonts w:hint="eastAsia" w:ascii="仿宋_GB2312" w:hAnsi="仿宋_GB2312" w:eastAsia="仿宋_GB2312" w:cs="仿宋_GB2312"/>
          <w:color w:val="auto"/>
          <w:sz w:val="32"/>
          <w:szCs w:val="32"/>
          <w:u w:val="none"/>
          <w:lang w:val="en-US" w:eastAsia="zh-CN"/>
        </w:rPr>
        <w:t>5.76万元</w:t>
      </w:r>
      <w:r>
        <w:rPr>
          <w:rFonts w:hint="eastAsia" w:ascii="仿宋_GB2312" w:hAnsi="仿宋_GB2312" w:eastAsia="仿宋_GB2312" w:cs="仿宋_GB2312"/>
          <w:color w:val="auto"/>
          <w:sz w:val="32"/>
          <w:szCs w:val="32"/>
          <w:u w:val="none"/>
        </w:rPr>
        <w:t>，结转下年</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p>
    <w:p>
      <w:pPr>
        <w:keepNext w:val="0"/>
        <w:keepLines w:val="0"/>
        <w:pageBreakBefore w:val="0"/>
        <w:kinsoku/>
        <w:wordWrap/>
        <w:overflowPunct/>
        <w:topLinePunct w:val="0"/>
        <w:bidi w:val="0"/>
        <w:snapToGrid/>
        <w:spacing w:line="560" w:lineRule="exact"/>
        <w:ind w:firstLine="640"/>
        <w:jc w:val="left"/>
        <w:textAlignment w:val="auto"/>
        <w:rPr>
          <w:rFonts w:ascii="黑体" w:hAnsi="黑体" w:eastAsia="黑体"/>
          <w:color w:val="auto"/>
          <w:sz w:val="32"/>
          <w:szCs w:val="32"/>
          <w:u w:val="none"/>
        </w:rPr>
      </w:pPr>
      <w:r>
        <w:rPr>
          <w:rFonts w:hint="eastAsia" w:ascii="黑体" w:hAnsi="黑体" w:eastAsia="黑体"/>
          <w:color w:val="auto"/>
          <w:sz w:val="32"/>
          <w:szCs w:val="32"/>
          <w:u w:val="none"/>
        </w:rPr>
        <w:t>二、关于</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hint="eastAsia" w:ascii="黑体" w:hAnsi="黑体" w:eastAsia="黑体"/>
          <w:color w:val="auto"/>
          <w:sz w:val="32"/>
          <w:szCs w:val="32"/>
          <w:u w:val="none"/>
        </w:rPr>
        <w:t>年一般公共预算当年拨款情况说明</w:t>
      </w:r>
    </w:p>
    <w:p>
      <w:pPr>
        <w:keepNext w:val="0"/>
        <w:keepLines w:val="0"/>
        <w:pageBreakBefore w:val="0"/>
        <w:kinsoku/>
        <w:wordWrap/>
        <w:overflowPunct/>
        <w:topLinePunct w:val="0"/>
        <w:bidi w:val="0"/>
        <w:snapToGrid/>
        <w:spacing w:line="560" w:lineRule="exact"/>
        <w:ind w:firstLine="640"/>
        <w:jc w:val="left"/>
        <w:textAlignment w:val="auto"/>
        <w:rPr>
          <w:rFonts w:ascii="楷体" w:hAnsi="楷体" w:eastAsia="楷体"/>
          <w:color w:val="auto"/>
          <w:sz w:val="32"/>
          <w:szCs w:val="32"/>
          <w:u w:val="none"/>
        </w:rPr>
      </w:pPr>
      <w:r>
        <w:rPr>
          <w:rFonts w:hint="eastAsia" w:ascii="楷体" w:hAnsi="楷体" w:eastAsia="楷体"/>
          <w:color w:val="auto"/>
          <w:sz w:val="32"/>
          <w:szCs w:val="32"/>
          <w:u w:val="none"/>
        </w:rPr>
        <w:t>（一）一般公共预算当年规模变化情况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rPr>
        <w:t>年一般公共预算当年拨款</w:t>
      </w:r>
      <w:r>
        <w:rPr>
          <w:rFonts w:hint="eastAsia" w:ascii="仿宋_GB2312" w:hAnsi="仿宋_GB2312" w:eastAsia="仿宋_GB2312" w:cs="仿宋_GB2312"/>
          <w:color w:val="auto"/>
          <w:sz w:val="32"/>
          <w:szCs w:val="32"/>
          <w:u w:val="none"/>
          <w:lang w:val="en-US" w:eastAsia="zh-CN"/>
        </w:rPr>
        <w:t>212.99</w:t>
      </w:r>
      <w:r>
        <w:rPr>
          <w:rFonts w:hint="eastAsia" w:ascii="仿宋_GB2312" w:hAnsi="仿宋_GB2312" w:eastAsia="仿宋_GB2312" w:cs="仿宋_GB2312"/>
          <w:color w:val="auto"/>
          <w:sz w:val="32"/>
          <w:szCs w:val="32"/>
          <w:u w:val="none"/>
        </w:rPr>
        <w:t>万元，比上年预算数增加</w:t>
      </w:r>
      <w:r>
        <w:rPr>
          <w:rFonts w:hint="eastAsia" w:ascii="仿宋_GB2312" w:hAnsi="仿宋_GB2312" w:eastAsia="仿宋_GB2312" w:cs="仿宋_GB2312"/>
          <w:color w:val="auto"/>
          <w:sz w:val="32"/>
          <w:szCs w:val="32"/>
          <w:u w:val="none"/>
          <w:lang w:val="en-US" w:eastAsia="zh-CN"/>
        </w:rPr>
        <w:t>212.99万元</w:t>
      </w:r>
      <w:r>
        <w:rPr>
          <w:rFonts w:hint="eastAsia" w:ascii="仿宋_GB2312" w:hAnsi="仿宋_GB2312" w:eastAsia="仿宋_GB2312" w:cs="仿宋_GB2312"/>
          <w:color w:val="auto"/>
          <w:sz w:val="32"/>
          <w:szCs w:val="32"/>
          <w:u w:val="none"/>
        </w:rPr>
        <w:t>，主要是</w:t>
      </w:r>
      <w:r>
        <w:rPr>
          <w:rFonts w:hint="eastAsia" w:ascii="仿宋_GB2312" w:hAnsi="仿宋_GB2312" w:eastAsia="仿宋_GB2312" w:cs="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jc w:val="left"/>
        <w:textAlignment w:val="auto"/>
        <w:rPr>
          <w:rFonts w:ascii="楷体" w:hAnsi="楷体" w:eastAsia="楷体"/>
          <w:color w:val="auto"/>
          <w:sz w:val="32"/>
          <w:szCs w:val="32"/>
          <w:u w:val="none"/>
        </w:rPr>
      </w:pPr>
      <w:r>
        <w:rPr>
          <w:rFonts w:hint="eastAsia" w:ascii="楷体" w:hAnsi="楷体" w:eastAsia="楷体"/>
          <w:color w:val="auto"/>
          <w:sz w:val="32"/>
          <w:szCs w:val="32"/>
          <w:u w:val="none"/>
        </w:rPr>
        <w:t>（二）一般公共预算当年拨款结构情况</w:t>
      </w:r>
    </w:p>
    <w:p>
      <w:pPr>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黑体" w:eastAsia="仿宋_GB2312"/>
          <w:color w:val="auto"/>
          <w:sz w:val="32"/>
          <w:szCs w:val="32"/>
          <w:u w:val="none"/>
          <w:lang w:eastAsia="zh-CN"/>
        </w:rPr>
      </w:pPr>
      <w:r>
        <w:rPr>
          <w:rFonts w:hint="eastAsia" w:ascii="仿宋_GB2312" w:hAnsi="黑体" w:eastAsia="仿宋_GB2312"/>
          <w:color w:val="auto"/>
          <w:sz w:val="32"/>
          <w:szCs w:val="32"/>
          <w:u w:val="none"/>
        </w:rPr>
        <w:t>一般公共服务支出</w:t>
      </w:r>
      <w:r>
        <w:rPr>
          <w:rFonts w:hint="eastAsia" w:ascii="仿宋_GB2312" w:hAnsi="黑体" w:eastAsia="仿宋_GB2312" w:cs="仿宋_GB2312"/>
          <w:color w:val="auto"/>
          <w:sz w:val="32"/>
          <w:szCs w:val="32"/>
          <w:u w:val="none"/>
          <w:lang w:val="en-US" w:eastAsia="zh-CN"/>
        </w:rPr>
        <w:t>192.35</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90.31</w:t>
      </w:r>
      <w:r>
        <w:rPr>
          <w:rFonts w:hint="eastAsia" w:ascii="仿宋_GB2312" w:hAnsi="黑体" w:eastAsia="仿宋_GB2312"/>
          <w:color w:val="auto"/>
          <w:sz w:val="32"/>
          <w:szCs w:val="32"/>
          <w:u w:val="none"/>
        </w:rPr>
        <w:t>%；社会保障和就业支出</w:t>
      </w:r>
      <w:r>
        <w:rPr>
          <w:rFonts w:hint="eastAsia" w:ascii="仿宋_GB2312" w:hAnsi="黑体" w:eastAsia="仿宋_GB2312" w:cs="仿宋_GB2312"/>
          <w:color w:val="auto"/>
          <w:sz w:val="32"/>
          <w:szCs w:val="32"/>
          <w:u w:val="none"/>
          <w:lang w:val="en-US" w:eastAsia="zh-CN"/>
        </w:rPr>
        <w:t>6.58</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3.09</w:t>
      </w:r>
      <w:r>
        <w:rPr>
          <w:rFonts w:hint="eastAsia" w:ascii="仿宋_GB2312" w:hAnsi="黑体" w:eastAsia="仿宋_GB2312"/>
          <w:color w:val="auto"/>
          <w:sz w:val="32"/>
          <w:szCs w:val="32"/>
          <w:u w:val="none"/>
        </w:rPr>
        <w:t>%；卫生健康支出</w:t>
      </w:r>
      <w:r>
        <w:rPr>
          <w:rFonts w:hint="eastAsia" w:ascii="仿宋_GB2312" w:hAnsi="黑体" w:eastAsia="仿宋_GB2312" w:cs="仿宋_GB2312"/>
          <w:color w:val="auto"/>
          <w:sz w:val="32"/>
          <w:szCs w:val="32"/>
          <w:u w:val="none"/>
          <w:lang w:val="en-US" w:eastAsia="zh-CN"/>
        </w:rPr>
        <w:t>8.30</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3.90</w:t>
      </w:r>
      <w:r>
        <w:rPr>
          <w:rFonts w:hint="eastAsia" w:ascii="仿宋_GB2312" w:hAnsi="黑体" w:eastAsia="仿宋_GB2312"/>
          <w:color w:val="auto"/>
          <w:sz w:val="32"/>
          <w:szCs w:val="32"/>
          <w:u w:val="none"/>
        </w:rPr>
        <w:t>%；住房保障支出</w:t>
      </w:r>
      <w:r>
        <w:rPr>
          <w:rFonts w:hint="eastAsia" w:ascii="仿宋_GB2312" w:hAnsi="黑体" w:eastAsia="仿宋_GB2312"/>
          <w:color w:val="auto"/>
          <w:sz w:val="32"/>
          <w:szCs w:val="32"/>
          <w:u w:val="none"/>
          <w:lang w:val="en-US" w:eastAsia="zh-CN"/>
        </w:rPr>
        <w:t>5.76万元</w:t>
      </w:r>
      <w:r>
        <w:rPr>
          <w:rFonts w:hint="eastAsia" w:ascii="仿宋_GB2312" w:hAnsi="黑体" w:eastAsia="仿宋_GB2312"/>
          <w:color w:val="auto"/>
          <w:sz w:val="32"/>
          <w:szCs w:val="32"/>
          <w:u w:val="none"/>
        </w:rPr>
        <w:t>，占</w:t>
      </w:r>
      <w:r>
        <w:rPr>
          <w:rFonts w:hint="eastAsia" w:ascii="仿宋_GB2312" w:hAnsi="黑体" w:eastAsia="仿宋_GB2312"/>
          <w:color w:val="auto"/>
          <w:sz w:val="32"/>
          <w:szCs w:val="32"/>
          <w:u w:val="none"/>
          <w:lang w:val="en-US" w:eastAsia="zh-CN"/>
        </w:rPr>
        <w:t>2.70</w:t>
      </w:r>
      <w:r>
        <w:rPr>
          <w:rFonts w:hint="eastAsia" w:ascii="仿宋_GB2312" w:hAnsi="黑体" w:eastAsia="仿宋_GB2312"/>
          <w:color w:val="auto"/>
          <w:sz w:val="32"/>
          <w:szCs w:val="32"/>
          <w:u w:val="none"/>
        </w:rPr>
        <w:t>%</w:t>
      </w:r>
      <w:r>
        <w:rPr>
          <w:rFonts w:hint="eastAsia" w:ascii="仿宋_GB2312" w:hAnsi="黑体" w:eastAsia="仿宋_GB2312"/>
          <w:color w:val="auto"/>
          <w:sz w:val="32"/>
          <w:szCs w:val="32"/>
          <w:u w:val="none"/>
          <w:lang w:eastAsia="zh-CN"/>
        </w:rPr>
        <w:t>。</w:t>
      </w:r>
    </w:p>
    <w:p>
      <w:pPr>
        <w:keepNext w:val="0"/>
        <w:keepLines w:val="0"/>
        <w:pageBreakBefore w:val="0"/>
        <w:kinsoku/>
        <w:wordWrap/>
        <w:overflowPunct/>
        <w:topLinePunct w:val="0"/>
        <w:bidi w:val="0"/>
        <w:snapToGrid/>
        <w:spacing w:line="560" w:lineRule="exact"/>
        <w:ind w:firstLine="640"/>
        <w:jc w:val="left"/>
        <w:textAlignment w:val="auto"/>
        <w:rPr>
          <w:rFonts w:ascii="楷体" w:hAnsi="楷体" w:eastAsia="楷体"/>
          <w:color w:val="auto"/>
          <w:sz w:val="32"/>
          <w:szCs w:val="32"/>
          <w:u w:val="none"/>
        </w:rPr>
      </w:pPr>
      <w:r>
        <w:rPr>
          <w:rFonts w:hint="eastAsia" w:ascii="楷体" w:hAnsi="楷体" w:eastAsia="楷体"/>
          <w:color w:val="auto"/>
          <w:sz w:val="32"/>
          <w:szCs w:val="32"/>
          <w:u w:val="none"/>
        </w:rPr>
        <w:t>（三）一般公共预算当年拨款具体使用情况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auto"/>
          <w:sz w:val="32"/>
          <w:szCs w:val="32"/>
          <w:u w:val="none"/>
          <w:lang w:eastAsia="zh-CN"/>
        </w:rPr>
      </w:pPr>
      <w:r>
        <w:rPr>
          <w:rFonts w:hint="eastAsia" w:ascii="仿宋_GB2312" w:hAnsi="黑体" w:eastAsia="仿宋_GB2312" w:cs="仿宋_GB2312"/>
          <w:color w:val="auto"/>
          <w:sz w:val="32"/>
          <w:szCs w:val="32"/>
          <w:u w:val="none"/>
        </w:rPr>
        <w:t>1.</w:t>
      </w:r>
      <w:r>
        <w:rPr>
          <w:rFonts w:hint="eastAsia" w:ascii="仿宋_GB2312" w:hAnsi="黑体" w:eastAsia="仿宋_GB2312" w:cs="仿宋_GB2312"/>
          <w:color w:val="auto"/>
          <w:sz w:val="32"/>
          <w:szCs w:val="32"/>
        </w:rPr>
        <w:t>一般公共服务（类）统计信息事务（款）行政运行（项）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65.36</w:t>
      </w:r>
      <w:r>
        <w:rPr>
          <w:rFonts w:hint="eastAsia" w:ascii="仿宋_GB2312" w:hAnsi="黑体" w:eastAsia="仿宋_GB2312"/>
          <w:color w:val="auto"/>
          <w:sz w:val="32"/>
          <w:szCs w:val="32"/>
        </w:rPr>
        <w:t>万元，</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s="仿宋_GB2312"/>
          <w:color w:val="auto"/>
          <w:sz w:val="32"/>
          <w:szCs w:val="32"/>
          <w:u w:val="none"/>
          <w:lang w:val="en-US" w:eastAsia="zh-CN"/>
        </w:rPr>
        <w:t>65.36</w:t>
      </w:r>
      <w:r>
        <w:rPr>
          <w:rFonts w:hint="eastAsia" w:ascii="仿宋_GB2312" w:hAnsi="黑体" w:eastAsia="仿宋_GB2312"/>
          <w:color w:val="auto"/>
          <w:sz w:val="32"/>
          <w:szCs w:val="32"/>
          <w:u w:val="none"/>
        </w:rPr>
        <w:t>万元，主要是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auto"/>
          <w:sz w:val="32"/>
          <w:szCs w:val="32"/>
          <w:u w:val="none"/>
          <w:lang w:eastAsia="zh-CN"/>
        </w:rPr>
      </w:pPr>
      <w:r>
        <w:rPr>
          <w:rFonts w:hint="eastAsia" w:ascii="仿宋_GB2312" w:hAnsi="黑体" w:eastAsia="仿宋_GB2312" w:cs="仿宋_GB2312"/>
          <w:color w:val="auto"/>
          <w:sz w:val="32"/>
          <w:szCs w:val="32"/>
          <w:u w:val="none"/>
          <w:lang w:val="en-US" w:eastAsia="zh-CN"/>
        </w:rPr>
        <w:t>2</w:t>
      </w:r>
      <w:r>
        <w:rPr>
          <w:rFonts w:hint="eastAsia" w:ascii="仿宋_GB2312" w:hAnsi="黑体" w:eastAsia="仿宋_GB2312" w:cs="仿宋_GB2312"/>
          <w:color w:val="auto"/>
          <w:sz w:val="32"/>
          <w:szCs w:val="32"/>
          <w:u w:val="none"/>
        </w:rPr>
        <w:t>.</w:t>
      </w:r>
      <w:r>
        <w:rPr>
          <w:rFonts w:hint="eastAsia" w:ascii="仿宋_GB2312" w:hAnsi="黑体" w:eastAsia="仿宋_GB2312" w:cs="仿宋_GB2312"/>
          <w:color w:val="auto"/>
          <w:sz w:val="32"/>
          <w:szCs w:val="32"/>
        </w:rPr>
        <w:t>一般公共服务（类）统计信息事务（款）一般行政管理事务（项）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44</w:t>
      </w:r>
      <w:r>
        <w:rPr>
          <w:rFonts w:hint="eastAsia" w:ascii="仿宋_GB2312" w:hAnsi="黑体" w:eastAsia="仿宋_GB2312"/>
          <w:color w:val="auto"/>
          <w:sz w:val="32"/>
          <w:szCs w:val="32"/>
        </w:rPr>
        <w:t>万元，</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s="仿宋_GB2312"/>
          <w:color w:val="auto"/>
          <w:sz w:val="32"/>
          <w:szCs w:val="32"/>
          <w:u w:val="none"/>
          <w:lang w:val="en-US" w:eastAsia="zh-CN"/>
        </w:rPr>
        <w:t>44</w:t>
      </w:r>
      <w:r>
        <w:rPr>
          <w:rFonts w:hint="eastAsia" w:ascii="仿宋_GB2312" w:hAnsi="黑体" w:eastAsia="仿宋_GB2312"/>
          <w:color w:val="auto"/>
          <w:sz w:val="32"/>
          <w:szCs w:val="32"/>
          <w:u w:val="none"/>
        </w:rPr>
        <w:t>万元，主要是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auto"/>
          <w:sz w:val="32"/>
          <w:szCs w:val="32"/>
          <w:u w:val="none"/>
          <w:lang w:eastAsia="zh-CN"/>
        </w:rPr>
      </w:pPr>
      <w:r>
        <w:rPr>
          <w:rFonts w:hint="eastAsia" w:ascii="仿宋_GB2312" w:hAnsi="黑体" w:eastAsia="仿宋_GB2312" w:cs="仿宋_GB2312"/>
          <w:color w:val="auto"/>
          <w:sz w:val="32"/>
          <w:szCs w:val="32"/>
          <w:u w:val="none"/>
          <w:lang w:val="en-US" w:eastAsia="zh-CN"/>
        </w:rPr>
        <w:t>3</w:t>
      </w:r>
      <w:r>
        <w:rPr>
          <w:rFonts w:hint="eastAsia" w:ascii="仿宋_GB2312" w:hAnsi="黑体" w:eastAsia="仿宋_GB2312" w:cs="仿宋_GB2312"/>
          <w:color w:val="auto"/>
          <w:sz w:val="32"/>
          <w:szCs w:val="32"/>
          <w:u w:val="none"/>
        </w:rPr>
        <w:t>.</w:t>
      </w:r>
      <w:r>
        <w:rPr>
          <w:rFonts w:hint="eastAsia" w:ascii="仿宋_GB2312" w:hAnsi="黑体" w:eastAsia="仿宋_GB2312" w:cs="仿宋_GB2312"/>
          <w:color w:val="auto"/>
          <w:sz w:val="32"/>
          <w:szCs w:val="32"/>
        </w:rPr>
        <w:t>一般公共服务（类）统计信息事务（款）专项统计业务（项）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24</w:t>
      </w:r>
      <w:r>
        <w:rPr>
          <w:rFonts w:hint="eastAsia" w:ascii="仿宋_GB2312" w:hAnsi="黑体" w:eastAsia="仿宋_GB2312"/>
          <w:color w:val="auto"/>
          <w:sz w:val="32"/>
          <w:szCs w:val="32"/>
        </w:rPr>
        <w:t>万元，</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s="仿宋_GB2312"/>
          <w:color w:val="auto"/>
          <w:sz w:val="32"/>
          <w:szCs w:val="32"/>
          <w:u w:val="none"/>
          <w:lang w:val="en-US" w:eastAsia="zh-CN"/>
        </w:rPr>
        <w:t>24</w:t>
      </w:r>
      <w:r>
        <w:rPr>
          <w:rFonts w:hint="eastAsia" w:ascii="仿宋_GB2312" w:hAnsi="黑体" w:eastAsia="仿宋_GB2312"/>
          <w:color w:val="auto"/>
          <w:sz w:val="32"/>
          <w:szCs w:val="32"/>
          <w:u w:val="none"/>
        </w:rPr>
        <w:t>万元，主要是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auto"/>
          <w:sz w:val="32"/>
          <w:szCs w:val="32"/>
          <w:u w:val="none"/>
          <w:lang w:eastAsia="zh-CN"/>
        </w:rPr>
      </w:pPr>
      <w:r>
        <w:rPr>
          <w:rFonts w:hint="eastAsia" w:ascii="仿宋_GB2312" w:hAnsi="黑体" w:eastAsia="仿宋_GB2312" w:cs="仿宋_GB2312"/>
          <w:color w:val="auto"/>
          <w:sz w:val="32"/>
          <w:szCs w:val="32"/>
          <w:u w:val="none"/>
          <w:lang w:val="en-US" w:eastAsia="zh-CN"/>
        </w:rPr>
        <w:t>4</w:t>
      </w:r>
      <w:r>
        <w:rPr>
          <w:rFonts w:hint="eastAsia" w:ascii="仿宋_GB2312" w:hAnsi="黑体" w:eastAsia="仿宋_GB2312" w:cs="仿宋_GB2312"/>
          <w:color w:val="auto"/>
          <w:sz w:val="32"/>
          <w:szCs w:val="32"/>
          <w:u w:val="none"/>
        </w:rPr>
        <w:t>.</w:t>
      </w:r>
      <w:r>
        <w:rPr>
          <w:rFonts w:hint="eastAsia" w:ascii="仿宋_GB2312" w:hAnsi="黑体" w:eastAsia="仿宋_GB2312" w:cs="仿宋_GB2312"/>
          <w:color w:val="auto"/>
          <w:sz w:val="32"/>
          <w:szCs w:val="32"/>
        </w:rPr>
        <w:t>一般公共服务（类）统计信息事务（款）专项普查活动（项）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57</w:t>
      </w:r>
      <w:r>
        <w:rPr>
          <w:rFonts w:hint="eastAsia" w:ascii="仿宋_GB2312" w:hAnsi="黑体" w:eastAsia="仿宋_GB2312"/>
          <w:color w:val="auto"/>
          <w:sz w:val="32"/>
          <w:szCs w:val="32"/>
        </w:rPr>
        <w:t>万元，</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s="仿宋_GB2312"/>
          <w:color w:val="auto"/>
          <w:sz w:val="32"/>
          <w:szCs w:val="32"/>
          <w:u w:val="none"/>
          <w:lang w:val="en-US" w:eastAsia="zh-CN"/>
        </w:rPr>
        <w:t>57</w:t>
      </w:r>
      <w:r>
        <w:rPr>
          <w:rFonts w:hint="eastAsia" w:ascii="仿宋_GB2312" w:hAnsi="黑体" w:eastAsia="仿宋_GB2312"/>
          <w:color w:val="auto"/>
          <w:sz w:val="32"/>
          <w:szCs w:val="32"/>
          <w:u w:val="none"/>
        </w:rPr>
        <w:t>万元，主要是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auto"/>
          <w:sz w:val="32"/>
          <w:szCs w:val="32"/>
          <w:u w:val="none"/>
          <w:lang w:eastAsia="zh-CN"/>
        </w:rPr>
      </w:pPr>
      <w:r>
        <w:rPr>
          <w:rFonts w:hint="eastAsia" w:ascii="仿宋_GB2312" w:hAnsi="黑体" w:eastAsia="仿宋_GB2312" w:cs="仿宋_GB2312"/>
          <w:color w:val="auto"/>
          <w:sz w:val="32"/>
          <w:szCs w:val="32"/>
          <w:u w:val="none"/>
          <w:lang w:val="en-US" w:eastAsia="zh-CN"/>
        </w:rPr>
        <w:t>5</w:t>
      </w:r>
      <w:r>
        <w:rPr>
          <w:rFonts w:hint="eastAsia" w:ascii="仿宋_GB2312" w:hAnsi="黑体" w:eastAsia="仿宋_GB2312" w:cs="仿宋_GB2312"/>
          <w:color w:val="auto"/>
          <w:sz w:val="32"/>
          <w:szCs w:val="32"/>
          <w:u w:val="none"/>
        </w:rPr>
        <w:t>.</w:t>
      </w:r>
      <w:r>
        <w:rPr>
          <w:rFonts w:hint="eastAsia" w:ascii="仿宋_GB2312" w:hAnsi="黑体" w:eastAsia="仿宋_GB2312" w:cs="仿宋_GB2312"/>
          <w:color w:val="auto"/>
          <w:sz w:val="32"/>
          <w:szCs w:val="32"/>
        </w:rPr>
        <w:t>一般公共服务（类）统计信息事务（款）统计抽样调查（项）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w:t>
      </w:r>
      <w:r>
        <w:rPr>
          <w:rFonts w:hint="eastAsia" w:ascii="仿宋_GB2312" w:hAnsi="黑体" w:eastAsia="仿宋_GB2312"/>
          <w:color w:val="auto"/>
          <w:sz w:val="32"/>
          <w:szCs w:val="32"/>
        </w:rPr>
        <w:t>万元，</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s="仿宋_GB2312"/>
          <w:color w:val="auto"/>
          <w:sz w:val="32"/>
          <w:szCs w:val="32"/>
          <w:u w:val="none"/>
          <w:lang w:val="en-US" w:eastAsia="zh-CN"/>
        </w:rPr>
        <w:t>2</w:t>
      </w:r>
      <w:r>
        <w:rPr>
          <w:rFonts w:hint="eastAsia" w:ascii="仿宋_GB2312" w:hAnsi="黑体" w:eastAsia="仿宋_GB2312"/>
          <w:color w:val="auto"/>
          <w:sz w:val="32"/>
          <w:szCs w:val="32"/>
          <w:u w:val="none"/>
        </w:rPr>
        <w:t>万元，主要是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auto"/>
          <w:sz w:val="32"/>
          <w:szCs w:val="32"/>
          <w:u w:val="none"/>
          <w:lang w:eastAsia="zh-CN"/>
        </w:rPr>
      </w:pPr>
      <w:r>
        <w:rPr>
          <w:rFonts w:hint="eastAsia" w:ascii="仿宋_GB2312" w:hAnsi="黑体" w:eastAsia="仿宋_GB2312"/>
          <w:color w:val="auto"/>
          <w:sz w:val="32"/>
          <w:szCs w:val="32"/>
          <w:u w:val="none"/>
          <w:lang w:val="en-US" w:eastAsia="zh-CN"/>
        </w:rPr>
        <w:t>6.</w:t>
      </w:r>
      <w:r>
        <w:rPr>
          <w:rFonts w:hint="eastAsia" w:ascii="仿宋_GB2312" w:hAnsi="黑体" w:eastAsia="仿宋_GB2312"/>
          <w:color w:val="auto"/>
          <w:sz w:val="32"/>
          <w:szCs w:val="32"/>
          <w:u w:val="none"/>
        </w:rPr>
        <w:t>社会保障和就业支出</w:t>
      </w:r>
      <w:r>
        <w:rPr>
          <w:rFonts w:hint="eastAsia" w:ascii="仿宋_GB2312" w:hAnsi="黑体" w:eastAsia="仿宋_GB2312"/>
          <w:color w:val="auto"/>
          <w:sz w:val="32"/>
          <w:szCs w:val="32"/>
          <w:u w:val="none"/>
          <w:lang w:eastAsia="zh-CN"/>
        </w:rPr>
        <w:t>（类）行政事业单位养老（款）机关事业单位基本养老保险缴费（项）</w:t>
      </w:r>
      <w:r>
        <w:rPr>
          <w:rFonts w:hint="eastAsia" w:ascii="仿宋_GB2312" w:hAnsi="黑体" w:eastAsia="仿宋_GB2312"/>
          <w:color w:val="auto"/>
          <w:sz w:val="32"/>
          <w:szCs w:val="32"/>
          <w:u w:val="none"/>
          <w:lang w:val="en-US" w:eastAsia="zh-CN"/>
        </w:rPr>
        <w:t>2020年预算数为</w:t>
      </w:r>
      <w:r>
        <w:rPr>
          <w:rFonts w:hint="eastAsia" w:ascii="仿宋_GB2312" w:hAnsi="黑体" w:eastAsia="仿宋_GB2312" w:cs="仿宋_GB2312"/>
          <w:color w:val="auto"/>
          <w:sz w:val="32"/>
          <w:szCs w:val="32"/>
          <w:u w:val="none"/>
          <w:lang w:val="en-US" w:eastAsia="zh-CN"/>
        </w:rPr>
        <w:t>6.58</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eastAsia="zh-CN"/>
        </w:rPr>
        <w:t>，</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s="仿宋_GB2312"/>
          <w:color w:val="auto"/>
          <w:sz w:val="32"/>
          <w:szCs w:val="32"/>
          <w:u w:val="none"/>
          <w:lang w:val="en-US" w:eastAsia="zh-CN"/>
        </w:rPr>
        <w:t>6.58</w:t>
      </w:r>
      <w:r>
        <w:rPr>
          <w:rFonts w:hint="eastAsia" w:ascii="仿宋_GB2312" w:hAnsi="黑体" w:eastAsia="仿宋_GB2312"/>
          <w:color w:val="auto"/>
          <w:sz w:val="32"/>
          <w:szCs w:val="32"/>
          <w:u w:val="none"/>
        </w:rPr>
        <w:t>万元，主要是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auto"/>
          <w:sz w:val="32"/>
          <w:szCs w:val="32"/>
          <w:u w:val="none"/>
          <w:lang w:eastAsia="zh-CN"/>
        </w:rPr>
      </w:pPr>
      <w:r>
        <w:rPr>
          <w:rFonts w:hint="eastAsia" w:ascii="仿宋_GB2312" w:hAnsi="黑体" w:eastAsia="仿宋_GB2312"/>
          <w:color w:val="auto"/>
          <w:sz w:val="32"/>
          <w:szCs w:val="32"/>
          <w:u w:val="none"/>
          <w:lang w:val="en-US" w:eastAsia="zh-CN"/>
        </w:rPr>
        <w:t>7.</w:t>
      </w:r>
      <w:r>
        <w:rPr>
          <w:rFonts w:hint="eastAsia" w:ascii="仿宋_GB2312" w:hAnsi="黑体" w:eastAsia="仿宋_GB2312"/>
          <w:color w:val="auto"/>
          <w:sz w:val="32"/>
          <w:szCs w:val="32"/>
          <w:u w:val="none"/>
        </w:rPr>
        <w:t>卫生健康支出</w:t>
      </w:r>
      <w:r>
        <w:rPr>
          <w:rFonts w:hint="eastAsia" w:ascii="仿宋_GB2312" w:hAnsi="黑体" w:eastAsia="仿宋_GB2312"/>
          <w:color w:val="auto"/>
          <w:sz w:val="32"/>
          <w:szCs w:val="32"/>
          <w:u w:val="none"/>
          <w:lang w:eastAsia="zh-CN"/>
        </w:rPr>
        <w:t>（类）行政事业单位医疗（款）行政单位医疗</w:t>
      </w:r>
      <w:r>
        <w:rPr>
          <w:rFonts w:hint="eastAsia" w:ascii="仿宋_GB2312" w:hAnsi="黑体" w:eastAsia="仿宋_GB2312"/>
          <w:color w:val="auto"/>
          <w:sz w:val="32"/>
          <w:szCs w:val="32"/>
          <w:u w:val="none"/>
          <w:lang w:val="en-US" w:eastAsia="zh-CN"/>
        </w:rPr>
        <w:t>(项）2020年预算数为</w:t>
      </w:r>
      <w:r>
        <w:rPr>
          <w:rFonts w:hint="eastAsia" w:ascii="仿宋_GB2312" w:hAnsi="黑体" w:eastAsia="仿宋_GB2312" w:cs="仿宋_GB2312"/>
          <w:color w:val="auto"/>
          <w:sz w:val="32"/>
          <w:szCs w:val="32"/>
          <w:u w:val="none"/>
          <w:lang w:val="en-US" w:eastAsia="zh-CN"/>
        </w:rPr>
        <w:t>3.50</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eastAsia="zh-CN"/>
        </w:rPr>
        <w:t>，</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s="仿宋_GB2312"/>
          <w:color w:val="auto"/>
          <w:sz w:val="32"/>
          <w:szCs w:val="32"/>
          <w:u w:val="none"/>
          <w:lang w:val="en-US" w:eastAsia="zh-CN"/>
        </w:rPr>
        <w:t>3.50</w:t>
      </w:r>
      <w:r>
        <w:rPr>
          <w:rFonts w:hint="eastAsia" w:ascii="仿宋_GB2312" w:hAnsi="黑体" w:eastAsia="仿宋_GB2312"/>
          <w:color w:val="auto"/>
          <w:sz w:val="32"/>
          <w:szCs w:val="32"/>
          <w:u w:val="none"/>
        </w:rPr>
        <w:t>万元，主要是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黑体" w:eastAsia="仿宋_GB2312"/>
          <w:color w:val="auto"/>
          <w:sz w:val="32"/>
          <w:szCs w:val="32"/>
          <w:u w:val="none"/>
          <w:lang w:eastAsia="zh-CN"/>
        </w:rPr>
      </w:pPr>
      <w:r>
        <w:rPr>
          <w:rFonts w:hint="eastAsia" w:ascii="仿宋_GB2312" w:hAnsi="黑体" w:eastAsia="仿宋_GB2312"/>
          <w:color w:val="auto"/>
          <w:sz w:val="32"/>
          <w:szCs w:val="32"/>
          <w:u w:val="none"/>
          <w:lang w:val="en-US" w:eastAsia="zh-CN"/>
        </w:rPr>
        <w:t>8.</w:t>
      </w:r>
      <w:r>
        <w:rPr>
          <w:rFonts w:hint="eastAsia" w:ascii="仿宋_GB2312" w:hAnsi="黑体" w:eastAsia="仿宋_GB2312"/>
          <w:color w:val="auto"/>
          <w:sz w:val="32"/>
          <w:szCs w:val="32"/>
          <w:u w:val="none"/>
        </w:rPr>
        <w:t>卫生健康支出</w:t>
      </w:r>
      <w:r>
        <w:rPr>
          <w:rFonts w:hint="eastAsia" w:ascii="仿宋_GB2312" w:hAnsi="黑体" w:eastAsia="仿宋_GB2312"/>
          <w:color w:val="auto"/>
          <w:sz w:val="32"/>
          <w:szCs w:val="32"/>
          <w:u w:val="none"/>
          <w:lang w:eastAsia="zh-CN"/>
        </w:rPr>
        <w:t>（类）行政事业单位医疗（款）公务员医疗补助</w:t>
      </w:r>
      <w:r>
        <w:rPr>
          <w:rFonts w:hint="eastAsia" w:ascii="仿宋_GB2312" w:hAnsi="黑体" w:eastAsia="仿宋_GB2312"/>
          <w:color w:val="auto"/>
          <w:sz w:val="32"/>
          <w:szCs w:val="32"/>
          <w:u w:val="none"/>
          <w:lang w:val="en-US" w:eastAsia="zh-CN"/>
        </w:rPr>
        <w:t>(项）2020年预算数为</w:t>
      </w:r>
      <w:r>
        <w:rPr>
          <w:rFonts w:hint="eastAsia" w:ascii="仿宋_GB2312" w:hAnsi="黑体" w:eastAsia="仿宋_GB2312" w:cs="仿宋_GB2312"/>
          <w:color w:val="auto"/>
          <w:sz w:val="32"/>
          <w:szCs w:val="32"/>
          <w:u w:val="none"/>
          <w:lang w:val="en-US" w:eastAsia="zh-CN"/>
        </w:rPr>
        <w:t>4.79</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eastAsia="zh-CN"/>
        </w:rPr>
        <w:t>，</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s="仿宋_GB2312"/>
          <w:color w:val="auto"/>
          <w:sz w:val="32"/>
          <w:szCs w:val="32"/>
          <w:u w:val="none"/>
          <w:lang w:val="en-US" w:eastAsia="zh-CN"/>
        </w:rPr>
        <w:t>4.79</w:t>
      </w:r>
      <w:r>
        <w:rPr>
          <w:rFonts w:hint="eastAsia" w:ascii="仿宋_GB2312" w:hAnsi="黑体" w:eastAsia="仿宋_GB2312"/>
          <w:color w:val="auto"/>
          <w:sz w:val="32"/>
          <w:szCs w:val="32"/>
          <w:u w:val="none"/>
        </w:rPr>
        <w:t>万元，主要是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color w:val="auto"/>
          <w:sz w:val="32"/>
          <w:szCs w:val="32"/>
          <w:u w:val="none"/>
        </w:rPr>
      </w:pPr>
      <w:r>
        <w:rPr>
          <w:rFonts w:hint="eastAsia" w:ascii="仿宋_GB2312" w:hAnsi="黑体" w:eastAsia="仿宋_GB2312"/>
          <w:color w:val="auto"/>
          <w:sz w:val="32"/>
          <w:szCs w:val="32"/>
          <w:u w:val="none"/>
          <w:lang w:val="en-US" w:eastAsia="zh-CN"/>
        </w:rPr>
        <w:t>9</w:t>
      </w:r>
      <w:r>
        <w:rPr>
          <w:rFonts w:hint="eastAsia" w:ascii="仿宋_GB2312" w:hAnsi="黑体" w:eastAsia="仿宋_GB2312"/>
          <w:color w:val="auto"/>
          <w:sz w:val="32"/>
          <w:szCs w:val="32"/>
          <w:u w:val="none"/>
        </w:rPr>
        <w:t>.住房保障支出</w:t>
      </w:r>
      <w:r>
        <w:rPr>
          <w:rFonts w:hint="eastAsia" w:ascii="仿宋_GB2312" w:hAnsi="黑体" w:eastAsia="仿宋_GB2312"/>
          <w:color w:val="auto"/>
          <w:sz w:val="32"/>
          <w:szCs w:val="32"/>
          <w:u w:val="none"/>
          <w:lang w:eastAsia="zh-CN"/>
        </w:rPr>
        <w:t>（类）住房改革（款）住房公积金（项）</w:t>
      </w:r>
      <w:r>
        <w:rPr>
          <w:rFonts w:hint="eastAsia" w:ascii="仿宋_GB2312" w:hAnsi="黑体" w:eastAsia="仿宋_GB2312" w:cs="仿宋_GB2312"/>
          <w:color w:val="auto"/>
          <w:sz w:val="32"/>
          <w:szCs w:val="32"/>
          <w:u w:val="none"/>
          <w:lang w:val="en-US" w:eastAsia="zh-CN"/>
        </w:rPr>
        <w:t>2020</w:t>
      </w:r>
      <w:r>
        <w:rPr>
          <w:rFonts w:hint="eastAsia" w:ascii="仿宋_GB2312" w:hAnsi="黑体" w:eastAsia="仿宋_GB2312"/>
          <w:color w:val="auto"/>
          <w:sz w:val="32"/>
          <w:szCs w:val="32"/>
          <w:u w:val="none"/>
        </w:rPr>
        <w:t>年预算数为</w:t>
      </w:r>
      <w:r>
        <w:rPr>
          <w:rFonts w:hint="eastAsia" w:ascii="仿宋_GB2312" w:hAnsi="黑体" w:eastAsia="仿宋_GB2312"/>
          <w:color w:val="auto"/>
          <w:sz w:val="32"/>
          <w:szCs w:val="32"/>
          <w:u w:val="none"/>
          <w:lang w:val="en-US" w:eastAsia="zh-CN"/>
        </w:rPr>
        <w:t>5.76万元</w:t>
      </w:r>
      <w:r>
        <w:rPr>
          <w:rFonts w:hint="eastAsia" w:ascii="仿宋_GB2312" w:hAnsi="黑体" w:eastAsia="仿宋_GB2312"/>
          <w:color w:val="auto"/>
          <w:sz w:val="32"/>
          <w:szCs w:val="32"/>
          <w:u w:val="none"/>
        </w:rPr>
        <w:t>，比上年预算数</w:t>
      </w:r>
      <w:r>
        <w:rPr>
          <w:rFonts w:hint="eastAsia" w:ascii="仿宋_GB2312" w:hAnsi="黑体" w:eastAsia="仿宋_GB2312" w:cs="仿宋_GB2312"/>
          <w:color w:val="auto"/>
          <w:sz w:val="32"/>
          <w:szCs w:val="32"/>
          <w:u w:val="none"/>
        </w:rPr>
        <w:t>增加</w:t>
      </w:r>
      <w:r>
        <w:rPr>
          <w:rFonts w:hint="eastAsia" w:ascii="仿宋_GB2312" w:hAnsi="黑体" w:eastAsia="仿宋_GB2312"/>
          <w:color w:val="auto"/>
          <w:sz w:val="32"/>
          <w:szCs w:val="32"/>
          <w:u w:val="none"/>
          <w:lang w:val="en-US" w:eastAsia="zh-CN"/>
        </w:rPr>
        <w:t>5.76万元</w:t>
      </w:r>
      <w:r>
        <w:rPr>
          <w:rFonts w:hint="eastAsia" w:ascii="仿宋_GB2312" w:hAnsi="黑体" w:eastAsia="仿宋_GB2312"/>
          <w:color w:val="auto"/>
          <w:sz w:val="32"/>
          <w:szCs w:val="32"/>
          <w:u w:val="none"/>
        </w:rPr>
        <w:t>，主要是</w:t>
      </w:r>
      <w:r>
        <w:rPr>
          <w:rFonts w:hint="eastAsia" w:ascii="仿宋_GB2312" w:hAnsi="黑体" w:eastAsia="仿宋_GB2312"/>
          <w:color w:val="auto"/>
          <w:sz w:val="32"/>
          <w:szCs w:val="32"/>
          <w:u w:val="none"/>
          <w:lang w:eastAsia="zh-CN"/>
        </w:rPr>
        <w:t>新成立的单位。</w:t>
      </w:r>
    </w:p>
    <w:p>
      <w:pPr>
        <w:keepNext w:val="0"/>
        <w:keepLines w:val="0"/>
        <w:pageBreakBefore w:val="0"/>
        <w:kinsoku/>
        <w:wordWrap/>
        <w:overflowPunct/>
        <w:topLinePunct w:val="0"/>
        <w:bidi w:val="0"/>
        <w:snapToGrid/>
        <w:spacing w:line="560" w:lineRule="exact"/>
        <w:ind w:firstLine="640"/>
        <w:textAlignment w:val="auto"/>
        <w:rPr>
          <w:rFonts w:hint="default" w:ascii="黑体" w:hAnsi="黑体" w:eastAsia="黑体" w:cs="黑体"/>
          <w:color w:val="auto"/>
          <w:sz w:val="32"/>
          <w:szCs w:val="32"/>
          <w:u w:val="none"/>
          <w:lang w:val="en-US" w:eastAsia="zh-CN"/>
        </w:rPr>
      </w:pPr>
      <w:r>
        <w:rPr>
          <w:rFonts w:hint="eastAsia" w:ascii="黑体" w:hAnsi="黑体" w:eastAsia="黑体"/>
          <w:color w:val="auto"/>
          <w:sz w:val="32"/>
          <w:szCs w:val="32"/>
          <w:u w:val="none"/>
        </w:rPr>
        <w:t>三、</w:t>
      </w:r>
      <w:r>
        <w:rPr>
          <w:rFonts w:hint="eastAsia" w:ascii="黑体" w:hAnsi="黑体" w:eastAsia="黑体" w:cs="黑体"/>
          <w:color w:val="auto"/>
          <w:sz w:val="32"/>
          <w:szCs w:val="32"/>
          <w:u w:val="none"/>
        </w:rPr>
        <w:t>关于</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hint="eastAsia" w:ascii="黑体" w:hAnsi="黑体" w:eastAsia="黑体" w:cs="黑体"/>
          <w:color w:val="auto"/>
          <w:sz w:val="32"/>
          <w:szCs w:val="32"/>
          <w:u w:val="none"/>
        </w:rPr>
        <w:t>年一般公共预算基本支出情况说明</w:t>
      </w:r>
      <w:r>
        <w:rPr>
          <w:rFonts w:hint="eastAsia" w:ascii="黑体" w:hAnsi="黑体" w:eastAsia="黑体" w:cs="黑体"/>
          <w:color w:val="auto"/>
          <w:sz w:val="32"/>
          <w:szCs w:val="32"/>
          <w:u w:val="none"/>
          <w:lang w:val="en-US" w:eastAsia="zh-CN"/>
        </w:rPr>
        <w:t xml:space="preserve">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rPr>
        <w:t>年一般公共预算基本支出为</w:t>
      </w:r>
      <w:r>
        <w:rPr>
          <w:rFonts w:hint="eastAsia" w:ascii="仿宋_GB2312" w:hAnsi="仿宋_GB2312" w:eastAsia="仿宋_GB2312" w:cs="仿宋_GB2312"/>
          <w:color w:val="auto"/>
          <w:sz w:val="32"/>
          <w:szCs w:val="32"/>
          <w:highlight w:val="none"/>
          <w:u w:val="none"/>
          <w:lang w:val="en-US" w:eastAsia="zh-CN"/>
        </w:rPr>
        <w:t>85.99</w:t>
      </w:r>
      <w:r>
        <w:rPr>
          <w:rFonts w:hint="eastAsia" w:ascii="仿宋_GB2312" w:hAnsi="仿宋_GB2312" w:eastAsia="仿宋_GB2312" w:cs="仿宋_GB2312"/>
          <w:color w:val="auto"/>
          <w:sz w:val="32"/>
          <w:szCs w:val="32"/>
          <w:u w:val="none"/>
        </w:rPr>
        <w:t>万元，其中：</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color w:val="auto"/>
          <w:sz w:val="32"/>
          <w:szCs w:val="32"/>
          <w:u w:val="none"/>
        </w:rPr>
      </w:pPr>
      <w:r>
        <w:rPr>
          <w:rFonts w:hint="eastAsia" w:ascii="仿宋_GB2312" w:hAnsi="黑体" w:eastAsia="仿宋_GB2312"/>
          <w:color w:val="auto"/>
          <w:sz w:val="32"/>
          <w:szCs w:val="32"/>
          <w:u w:val="none"/>
        </w:rPr>
        <w:t>人员经费</w:t>
      </w:r>
      <w:r>
        <w:rPr>
          <w:rFonts w:hint="eastAsia" w:ascii="仿宋_GB2312" w:hAnsi="黑体" w:eastAsia="仿宋_GB2312" w:cs="仿宋_GB2312"/>
          <w:color w:val="auto"/>
          <w:sz w:val="32"/>
          <w:szCs w:val="32"/>
          <w:u w:val="none"/>
          <w:lang w:val="en-US" w:eastAsia="zh-CN"/>
        </w:rPr>
        <w:t>78.20</w:t>
      </w:r>
      <w:r>
        <w:rPr>
          <w:rFonts w:hint="eastAsia" w:ascii="仿宋_GB2312" w:hAnsi="黑体" w:eastAsia="仿宋_GB2312"/>
          <w:color w:val="auto"/>
          <w:sz w:val="32"/>
          <w:szCs w:val="32"/>
          <w:u w:val="none"/>
        </w:rPr>
        <w:t>万元，主要包括：基本工资、津贴补贴、奖金、</w:t>
      </w:r>
      <w:r>
        <w:rPr>
          <w:rFonts w:hint="eastAsia" w:ascii="仿宋_GB2312" w:hAnsi="黑体" w:eastAsia="仿宋_GB2312"/>
          <w:color w:val="auto"/>
          <w:sz w:val="32"/>
          <w:szCs w:val="32"/>
          <w:u w:val="none"/>
          <w:lang w:eastAsia="zh-CN"/>
        </w:rPr>
        <w:t>绩效工资、</w:t>
      </w:r>
      <w:r>
        <w:rPr>
          <w:rFonts w:hint="eastAsia" w:ascii="仿宋_GB2312" w:hAnsi="黑体" w:eastAsia="仿宋_GB2312"/>
          <w:color w:val="auto"/>
          <w:sz w:val="32"/>
          <w:szCs w:val="32"/>
          <w:u w:val="none"/>
        </w:rPr>
        <w:t>社会保障缴费、</w:t>
      </w:r>
      <w:r>
        <w:rPr>
          <w:rFonts w:hint="eastAsia" w:ascii="仿宋_GB2312" w:hAnsi="黑体" w:eastAsia="仿宋_GB2312"/>
          <w:color w:val="auto"/>
          <w:sz w:val="32"/>
          <w:szCs w:val="32"/>
          <w:u w:val="none"/>
          <w:lang w:eastAsia="zh-CN"/>
        </w:rPr>
        <w:t>住房公积金</w:t>
      </w:r>
      <w:r>
        <w:rPr>
          <w:rFonts w:hint="eastAsia" w:ascii="仿宋_GB2312" w:hAnsi="黑体" w:eastAsia="仿宋_GB2312"/>
          <w:color w:val="auto"/>
          <w:sz w:val="32"/>
          <w:szCs w:val="32"/>
          <w:u w:val="none"/>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color w:val="auto"/>
          <w:sz w:val="32"/>
          <w:szCs w:val="32"/>
          <w:u w:val="none"/>
        </w:rPr>
      </w:pPr>
      <w:r>
        <w:rPr>
          <w:rFonts w:hint="eastAsia" w:ascii="仿宋_GB2312" w:hAnsi="黑体" w:eastAsia="仿宋_GB2312"/>
          <w:color w:val="auto"/>
          <w:sz w:val="32"/>
          <w:szCs w:val="32"/>
          <w:u w:val="none"/>
        </w:rPr>
        <w:t>公用经费</w:t>
      </w:r>
      <w:r>
        <w:rPr>
          <w:rFonts w:hint="eastAsia" w:ascii="仿宋_GB2312" w:hAnsi="黑体" w:eastAsia="仿宋_GB2312" w:cs="仿宋_GB2312"/>
          <w:color w:val="auto"/>
          <w:sz w:val="32"/>
          <w:szCs w:val="32"/>
          <w:u w:val="none"/>
          <w:lang w:val="en-US" w:eastAsia="zh-CN"/>
        </w:rPr>
        <w:t>7.79</w:t>
      </w:r>
      <w:r>
        <w:rPr>
          <w:rFonts w:hint="eastAsia" w:ascii="仿宋_GB2312" w:hAnsi="黑体" w:eastAsia="仿宋_GB2312"/>
          <w:color w:val="auto"/>
          <w:sz w:val="32"/>
          <w:szCs w:val="32"/>
          <w:u w:val="none"/>
        </w:rPr>
        <w:t>万元，主要包括：办公费、咨询费、手续费、水费、电费、</w:t>
      </w:r>
      <w:r>
        <w:rPr>
          <w:rFonts w:hint="eastAsia" w:ascii="仿宋_GB2312" w:hAnsi="黑体" w:eastAsia="仿宋_GB2312"/>
          <w:color w:val="auto"/>
          <w:sz w:val="32"/>
          <w:szCs w:val="32"/>
          <w:u w:val="none"/>
          <w:lang w:eastAsia="zh-CN"/>
        </w:rPr>
        <w:t>其他商品和服务支出</w:t>
      </w:r>
      <w:r>
        <w:rPr>
          <w:rFonts w:hint="eastAsia" w:ascii="仿宋_GB2312" w:hAnsi="黑体" w:eastAsia="仿宋_GB2312"/>
          <w:color w:val="auto"/>
          <w:sz w:val="32"/>
          <w:szCs w:val="32"/>
          <w:u w:val="none"/>
        </w:rPr>
        <w:t>。</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cs="Times New Roman"/>
          <w:color w:val="auto"/>
          <w:sz w:val="32"/>
          <w:u w:val="none"/>
          <w:shd w:val="clear" w:color="auto" w:fill="FFFFFF"/>
        </w:rPr>
      </w:pPr>
      <w:r>
        <w:rPr>
          <w:rFonts w:hint="eastAsia" w:ascii="黑体" w:hAnsi="黑体" w:eastAsia="黑体" w:cs="Times New Roman"/>
          <w:color w:val="auto"/>
          <w:sz w:val="32"/>
          <w:u w:val="none"/>
          <w:shd w:val="clear" w:color="auto" w:fill="FFFFFF"/>
        </w:rPr>
        <w:t>四、</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2020年</w:t>
      </w:r>
      <w:r>
        <w:rPr>
          <w:rFonts w:ascii="黑体" w:hAnsi="黑体" w:eastAsia="黑体" w:cs="Times New Roman"/>
          <w:color w:val="auto"/>
          <w:sz w:val="32"/>
          <w:u w:val="none"/>
          <w:shd w:val="clear" w:color="auto" w:fill="FFFFFF"/>
        </w:rPr>
        <w:t>“三公”经费预算情况</w:t>
      </w:r>
      <w:r>
        <w:rPr>
          <w:rFonts w:hint="eastAsia" w:ascii="黑体" w:hAnsi="黑体" w:eastAsia="黑体" w:cs="Times New Roman"/>
          <w:color w:val="auto"/>
          <w:sz w:val="32"/>
          <w:u w:val="none"/>
          <w:shd w:val="clear" w:color="auto" w:fill="FFFFFF"/>
        </w:rPr>
        <w:t>说明</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rPr>
        <w:t>年一般公共预算“三公”经费预算数为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万元，其中：</w:t>
      </w:r>
    </w:p>
    <w:p>
      <w:pPr>
        <w:keepNext w:val="0"/>
        <w:keepLines w:val="0"/>
        <w:pageBreakBefore w:val="0"/>
        <w:kinsoku/>
        <w:wordWrap/>
        <w:overflowPunct/>
        <w:topLinePunct w:val="0"/>
        <w:bidi w:val="0"/>
        <w:snapToGrid/>
        <w:spacing w:line="560" w:lineRule="exact"/>
        <w:ind w:firstLine="630"/>
        <w:textAlignment w:val="auto"/>
        <w:rPr>
          <w:rFonts w:hint="eastAsia" w:ascii="Times New Roman" w:hAnsi="Times New Roman" w:eastAsia="仿宋_GB2312" w:cs="Times New Roman"/>
          <w:color w:val="auto"/>
          <w:sz w:val="32"/>
          <w:u w:val="none"/>
          <w:shd w:val="clear" w:color="auto" w:fill="FFFFFF"/>
        </w:rPr>
      </w:pPr>
      <w:r>
        <w:rPr>
          <w:rFonts w:ascii="Times New Roman" w:hAnsi="Times New Roman" w:eastAsia="仿宋_GB2312" w:cs="Times New Roman"/>
          <w:color w:val="auto"/>
          <w:sz w:val="32"/>
          <w:u w:val="none"/>
          <w:shd w:val="clear" w:color="auto" w:fill="FFFFFF"/>
        </w:rPr>
        <w:t>因公出国（境）经费</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w:t>
      </w:r>
      <w:r>
        <w:rPr>
          <w:rFonts w:ascii="Times New Roman" w:hAnsi="Times New Roman" w:eastAsia="仿宋_GB2312" w:cs="Times New Roman"/>
          <w:color w:val="auto"/>
          <w:sz w:val="32"/>
          <w:u w:val="none"/>
          <w:shd w:val="clear" w:color="auto" w:fill="FFFFFF"/>
        </w:rPr>
        <w:t>，与</w:t>
      </w:r>
      <w:r>
        <w:rPr>
          <w:rFonts w:hint="eastAsia" w:ascii="Times New Roman" w:hAnsi="Times New Roman" w:eastAsia="仿宋_GB2312" w:cs="Times New Roman"/>
          <w:color w:val="auto"/>
          <w:sz w:val="32"/>
          <w:u w:val="none"/>
          <w:shd w:val="clear" w:color="auto" w:fill="FFFFFF"/>
        </w:rPr>
        <w:t>上</w:t>
      </w:r>
      <w:r>
        <w:rPr>
          <w:rFonts w:ascii="Times New Roman" w:hAnsi="Times New Roman" w:eastAsia="仿宋_GB2312" w:cs="Times New Roman"/>
          <w:color w:val="auto"/>
          <w:sz w:val="32"/>
          <w:u w:val="none"/>
          <w:shd w:val="clear" w:color="auto" w:fill="FFFFFF"/>
        </w:rPr>
        <w:t>年预算持平</w:t>
      </w:r>
      <w:r>
        <w:rPr>
          <w:rFonts w:hint="eastAsia" w:ascii="Times New Roman" w:hAnsi="Times New Roman" w:eastAsia="仿宋_GB2312" w:cs="Times New Roman"/>
          <w:color w:val="auto"/>
          <w:sz w:val="32"/>
          <w:u w:val="none"/>
          <w:shd w:val="clear" w:color="auto" w:fill="FFFFFF"/>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keepNext w:val="0"/>
        <w:keepLines w:val="0"/>
        <w:pageBreakBefore w:val="0"/>
        <w:kinsoku/>
        <w:wordWrap/>
        <w:overflowPunct/>
        <w:topLinePunct w:val="0"/>
        <w:bidi w:val="0"/>
        <w:snapToGrid/>
        <w:spacing w:line="560" w:lineRule="exact"/>
        <w:ind w:firstLine="630"/>
        <w:textAlignment w:val="auto"/>
        <w:rPr>
          <w:rFonts w:hint="eastAsia" w:ascii="Times New Roman" w:hAnsi="Times New Roman" w:eastAsia="仿宋_GB2312" w:cs="Times New Roman"/>
          <w:color w:val="auto"/>
          <w:sz w:val="32"/>
          <w:u w:val="none"/>
          <w:shd w:val="clear" w:color="auto" w:fill="FFFFFF"/>
        </w:rPr>
      </w:pPr>
      <w:r>
        <w:rPr>
          <w:rFonts w:ascii="Times New Roman" w:hAnsi="Times New Roman" w:eastAsia="仿宋_GB2312" w:cs="Times New Roman"/>
          <w:color w:val="auto"/>
          <w:sz w:val="32"/>
          <w:u w:val="none"/>
          <w:shd w:val="clear" w:color="auto" w:fill="FFFFFF"/>
        </w:rPr>
        <w:t>公务用车购置及运行费</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eastAsia="zh-CN"/>
        </w:rPr>
        <w:t>，</w:t>
      </w:r>
      <w:r>
        <w:rPr>
          <w:rFonts w:ascii="Times New Roman" w:hAnsi="Times New Roman" w:eastAsia="仿宋_GB2312" w:cs="Times New Roman"/>
          <w:color w:val="auto"/>
          <w:sz w:val="32"/>
          <w:u w:val="none"/>
          <w:shd w:val="clear" w:color="auto" w:fill="FFFFFF"/>
        </w:rPr>
        <w:t>与</w:t>
      </w:r>
      <w:r>
        <w:rPr>
          <w:rFonts w:hint="eastAsia" w:ascii="Times New Roman" w:hAnsi="Times New Roman" w:eastAsia="仿宋_GB2312" w:cs="Times New Roman"/>
          <w:color w:val="auto"/>
          <w:sz w:val="32"/>
          <w:u w:val="none"/>
          <w:shd w:val="clear" w:color="auto" w:fill="FFFFFF"/>
        </w:rPr>
        <w:t>上</w:t>
      </w:r>
      <w:r>
        <w:rPr>
          <w:rFonts w:ascii="Times New Roman" w:hAnsi="Times New Roman" w:eastAsia="仿宋_GB2312" w:cs="Times New Roman"/>
          <w:color w:val="auto"/>
          <w:sz w:val="32"/>
          <w:u w:val="none"/>
          <w:shd w:val="clear" w:color="auto" w:fill="FFFFFF"/>
        </w:rPr>
        <w:t>年预算持平</w:t>
      </w:r>
      <w:r>
        <w:rPr>
          <w:rFonts w:hint="eastAsia" w:ascii="Times New Roman" w:hAnsi="Times New Roman" w:eastAsia="仿宋_GB2312" w:cs="Times New Roman"/>
          <w:color w:val="auto"/>
          <w:sz w:val="32"/>
          <w:u w:val="none"/>
          <w:shd w:val="clear" w:color="auto" w:fill="FFFFFF"/>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keepNext w:val="0"/>
        <w:keepLines w:val="0"/>
        <w:pageBreakBefore w:val="0"/>
        <w:kinsoku/>
        <w:wordWrap/>
        <w:overflowPunct/>
        <w:topLinePunct w:val="0"/>
        <w:bidi w:val="0"/>
        <w:snapToGrid/>
        <w:spacing w:line="560" w:lineRule="exact"/>
        <w:ind w:firstLine="630"/>
        <w:textAlignment w:val="auto"/>
        <w:rPr>
          <w:rFonts w:hint="eastAsia" w:ascii="Times New Roman" w:hAnsi="Times New Roman" w:eastAsia="仿宋_GB2312" w:cs="Times New Roman"/>
          <w:color w:val="auto"/>
          <w:sz w:val="32"/>
          <w:u w:val="none"/>
          <w:shd w:val="clear" w:color="auto" w:fill="FFFFFF"/>
        </w:rPr>
      </w:pPr>
      <w:r>
        <w:rPr>
          <w:rFonts w:ascii="仿宋_GB2312" w:hAnsi="黑体" w:eastAsia="仿宋_GB2312" w:cs="Times New Roman"/>
          <w:color w:val="auto"/>
          <w:sz w:val="32"/>
          <w:szCs w:val="32"/>
          <w:u w:val="none"/>
        </w:rPr>
        <w:t>公务接待费</w:t>
      </w:r>
      <w:r>
        <w:rPr>
          <w:rFonts w:hint="eastAsia" w:ascii="仿宋_GB2312" w:hAnsi="黑体" w:eastAsia="仿宋_GB2312" w:cs="仿宋_GB2312"/>
          <w:color w:val="auto"/>
          <w:sz w:val="32"/>
          <w:szCs w:val="32"/>
          <w:u w:val="none"/>
          <w:lang w:val="en-US" w:eastAsia="zh-CN"/>
        </w:rPr>
        <w:t>0</w:t>
      </w:r>
      <w:r>
        <w:rPr>
          <w:rFonts w:ascii="Times New Roman" w:hAnsi="Times New Roman" w:eastAsia="仿宋_GB2312" w:cs="Times New Roman"/>
          <w:color w:val="auto"/>
          <w:sz w:val="32"/>
          <w:u w:val="none"/>
          <w:shd w:val="clear" w:color="auto" w:fill="FFFFFF"/>
        </w:rPr>
        <w:t>万元，与</w:t>
      </w:r>
      <w:r>
        <w:rPr>
          <w:rFonts w:hint="eastAsia" w:ascii="Times New Roman" w:hAnsi="Times New Roman" w:eastAsia="仿宋_GB2312" w:cs="Times New Roman"/>
          <w:color w:val="auto"/>
          <w:sz w:val="32"/>
          <w:u w:val="none"/>
          <w:shd w:val="clear" w:color="auto" w:fill="FFFFFF"/>
        </w:rPr>
        <w:t>上</w:t>
      </w:r>
      <w:r>
        <w:rPr>
          <w:rFonts w:ascii="Times New Roman" w:hAnsi="Times New Roman" w:eastAsia="仿宋_GB2312" w:cs="Times New Roman"/>
          <w:color w:val="auto"/>
          <w:sz w:val="32"/>
          <w:u w:val="none"/>
          <w:shd w:val="clear" w:color="auto" w:fill="FFFFFF"/>
        </w:rPr>
        <w:t>年预算持平</w:t>
      </w:r>
      <w:r>
        <w:rPr>
          <w:rFonts w:hint="eastAsia" w:ascii="Times New Roman" w:hAnsi="Times New Roman" w:eastAsia="仿宋_GB2312" w:cs="Times New Roman"/>
          <w:color w:val="auto"/>
          <w:sz w:val="32"/>
          <w:u w:val="none"/>
          <w:shd w:val="clear" w:color="auto" w:fill="FFFFFF"/>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rPr>
        <w:t>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keepNext w:val="0"/>
        <w:keepLines w:val="0"/>
        <w:pageBreakBefore w:val="0"/>
        <w:kinsoku/>
        <w:wordWrap/>
        <w:overflowPunct/>
        <w:topLinePunct w:val="0"/>
        <w:bidi w:val="0"/>
        <w:snapToGrid/>
        <w:spacing w:line="560" w:lineRule="exact"/>
        <w:ind w:firstLine="630"/>
        <w:textAlignment w:val="auto"/>
        <w:rPr>
          <w:rFonts w:hint="eastAsia" w:ascii="Times New Roman" w:hAnsi="Times New Roman" w:eastAsia="仿宋_GB2312" w:cs="Times New Roman"/>
          <w:color w:val="auto"/>
          <w:sz w:val="32"/>
          <w:u w:val="none"/>
          <w:shd w:val="clear" w:color="auto" w:fill="FFFFFF"/>
        </w:rPr>
      </w:pPr>
      <w:r>
        <w:rPr>
          <w:rFonts w:ascii="Times New Roman" w:hAnsi="Times New Roman" w:eastAsia="仿宋_GB2312" w:cs="Times New Roman"/>
          <w:sz w:val="32"/>
          <w:shd w:val="clear" w:color="auto" w:fill="FFFFFF"/>
        </w:rPr>
        <w:t xml:space="preserve"> </w:t>
      </w:r>
      <w:r>
        <w:rPr>
          <w:rFonts w:ascii="Times New Roman" w:hAnsi="Times New Roman" w:eastAsia="仿宋_GB2312" w:cs="Times New Roman"/>
          <w:color w:val="auto"/>
          <w:sz w:val="32"/>
          <w:u w:val="none"/>
          <w:shd w:val="clear" w:color="auto" w:fill="FFFFFF"/>
        </w:rPr>
        <w:t>因公出国（境）经费</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w:t>
      </w:r>
      <w:r>
        <w:rPr>
          <w:rFonts w:ascii="Times New Roman" w:hAnsi="Times New Roman" w:eastAsia="仿宋_GB2312" w:cs="Times New Roman"/>
          <w:color w:val="auto"/>
          <w:sz w:val="32"/>
          <w:u w:val="none"/>
          <w:shd w:val="clear" w:color="auto" w:fill="FFFFFF"/>
        </w:rPr>
        <w:t>，与</w:t>
      </w:r>
      <w:r>
        <w:rPr>
          <w:rFonts w:hint="eastAsia" w:ascii="Times New Roman" w:hAnsi="Times New Roman" w:eastAsia="仿宋_GB2312" w:cs="Times New Roman"/>
          <w:color w:val="auto"/>
          <w:sz w:val="32"/>
          <w:u w:val="none"/>
          <w:shd w:val="clear" w:color="auto" w:fill="FFFFFF"/>
        </w:rPr>
        <w:t>上</w:t>
      </w:r>
      <w:r>
        <w:rPr>
          <w:rFonts w:ascii="Times New Roman" w:hAnsi="Times New Roman" w:eastAsia="仿宋_GB2312" w:cs="Times New Roman"/>
          <w:color w:val="auto"/>
          <w:sz w:val="32"/>
          <w:u w:val="none"/>
          <w:shd w:val="clear" w:color="auto" w:fill="FFFFFF"/>
        </w:rPr>
        <w:t>年预算持平</w:t>
      </w:r>
      <w:r>
        <w:rPr>
          <w:rFonts w:hint="eastAsia" w:ascii="Times New Roman" w:hAnsi="Times New Roman" w:eastAsia="仿宋_GB2312" w:cs="Times New Roman"/>
          <w:color w:val="auto"/>
          <w:sz w:val="32"/>
          <w:u w:val="none"/>
          <w:shd w:val="clear" w:color="auto" w:fill="FFFFFF"/>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keepNext w:val="0"/>
        <w:keepLines w:val="0"/>
        <w:pageBreakBefore w:val="0"/>
        <w:kinsoku/>
        <w:wordWrap/>
        <w:overflowPunct/>
        <w:topLinePunct w:val="0"/>
        <w:bidi w:val="0"/>
        <w:snapToGrid/>
        <w:spacing w:line="560" w:lineRule="exact"/>
        <w:ind w:firstLine="630"/>
        <w:textAlignment w:val="auto"/>
        <w:rPr>
          <w:rFonts w:hint="eastAsia" w:ascii="Times New Roman" w:hAnsi="Times New Roman" w:eastAsia="仿宋_GB2312" w:cs="Times New Roman"/>
          <w:color w:val="auto"/>
          <w:sz w:val="32"/>
          <w:u w:val="none"/>
          <w:shd w:val="clear" w:color="auto" w:fill="FFFFFF"/>
        </w:rPr>
      </w:pPr>
      <w:r>
        <w:rPr>
          <w:rFonts w:ascii="Times New Roman" w:hAnsi="Times New Roman" w:eastAsia="仿宋_GB2312" w:cs="Times New Roman"/>
          <w:color w:val="auto"/>
          <w:sz w:val="32"/>
          <w:u w:val="none"/>
          <w:shd w:val="clear" w:color="auto" w:fill="FFFFFF"/>
        </w:rPr>
        <w:t>公务用车购置及运行费</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eastAsia="zh-CN"/>
        </w:rPr>
        <w:t>，</w:t>
      </w:r>
      <w:r>
        <w:rPr>
          <w:rFonts w:ascii="Times New Roman" w:hAnsi="Times New Roman" w:eastAsia="仿宋_GB2312" w:cs="Times New Roman"/>
          <w:color w:val="auto"/>
          <w:sz w:val="32"/>
          <w:u w:val="none"/>
          <w:shd w:val="clear" w:color="auto" w:fill="FFFFFF"/>
        </w:rPr>
        <w:t>与</w:t>
      </w:r>
      <w:r>
        <w:rPr>
          <w:rFonts w:hint="eastAsia" w:ascii="Times New Roman" w:hAnsi="Times New Roman" w:eastAsia="仿宋_GB2312" w:cs="Times New Roman"/>
          <w:color w:val="auto"/>
          <w:sz w:val="32"/>
          <w:u w:val="none"/>
          <w:shd w:val="clear" w:color="auto" w:fill="FFFFFF"/>
        </w:rPr>
        <w:t>上</w:t>
      </w:r>
      <w:r>
        <w:rPr>
          <w:rFonts w:ascii="Times New Roman" w:hAnsi="Times New Roman" w:eastAsia="仿宋_GB2312" w:cs="Times New Roman"/>
          <w:color w:val="auto"/>
          <w:sz w:val="32"/>
          <w:u w:val="none"/>
          <w:shd w:val="clear" w:color="auto" w:fill="FFFFFF"/>
        </w:rPr>
        <w:t>年预算持平</w:t>
      </w:r>
      <w:r>
        <w:rPr>
          <w:rFonts w:hint="eastAsia" w:ascii="Times New Roman" w:hAnsi="Times New Roman" w:eastAsia="仿宋_GB2312" w:cs="Times New Roman"/>
          <w:color w:val="auto"/>
          <w:sz w:val="32"/>
          <w:u w:val="none"/>
          <w:shd w:val="clear" w:color="auto" w:fill="FFFFFF"/>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keepNext w:val="0"/>
        <w:keepLines w:val="0"/>
        <w:pageBreakBefore w:val="0"/>
        <w:kinsoku/>
        <w:wordWrap/>
        <w:overflowPunct/>
        <w:topLinePunct w:val="0"/>
        <w:bidi w:val="0"/>
        <w:snapToGrid/>
        <w:spacing w:line="560" w:lineRule="exact"/>
        <w:ind w:firstLine="630"/>
        <w:textAlignment w:val="auto"/>
        <w:rPr>
          <w:rFonts w:hint="eastAsia" w:ascii="Times New Roman" w:hAnsi="Times New Roman" w:eastAsia="仿宋_GB2312" w:cs="Times New Roman"/>
          <w:color w:val="auto"/>
          <w:sz w:val="32"/>
          <w:u w:val="none"/>
          <w:shd w:val="clear" w:color="auto" w:fill="FFFFFF"/>
        </w:rPr>
      </w:pPr>
      <w:r>
        <w:rPr>
          <w:rFonts w:ascii="仿宋_GB2312" w:hAnsi="黑体" w:eastAsia="仿宋_GB2312" w:cs="Times New Roman"/>
          <w:color w:val="auto"/>
          <w:sz w:val="32"/>
          <w:szCs w:val="32"/>
          <w:u w:val="none"/>
        </w:rPr>
        <w:t>公务接待费</w:t>
      </w:r>
      <w:r>
        <w:rPr>
          <w:rFonts w:hint="eastAsia" w:ascii="仿宋_GB2312" w:hAnsi="黑体" w:eastAsia="仿宋_GB2312" w:cs="仿宋_GB2312"/>
          <w:color w:val="auto"/>
          <w:sz w:val="32"/>
          <w:szCs w:val="32"/>
          <w:u w:val="none"/>
          <w:lang w:val="en-US" w:eastAsia="zh-CN"/>
        </w:rPr>
        <w:t>0</w:t>
      </w:r>
      <w:r>
        <w:rPr>
          <w:rFonts w:ascii="Times New Roman" w:hAnsi="Times New Roman" w:eastAsia="仿宋_GB2312" w:cs="Times New Roman"/>
          <w:color w:val="auto"/>
          <w:sz w:val="32"/>
          <w:u w:val="none"/>
          <w:shd w:val="clear" w:color="auto" w:fill="FFFFFF"/>
        </w:rPr>
        <w:t>万元，与</w:t>
      </w:r>
      <w:r>
        <w:rPr>
          <w:rFonts w:hint="eastAsia" w:ascii="Times New Roman" w:hAnsi="Times New Roman" w:eastAsia="仿宋_GB2312" w:cs="Times New Roman"/>
          <w:color w:val="auto"/>
          <w:sz w:val="32"/>
          <w:u w:val="none"/>
          <w:shd w:val="clear" w:color="auto" w:fill="FFFFFF"/>
        </w:rPr>
        <w:t>上</w:t>
      </w:r>
      <w:r>
        <w:rPr>
          <w:rFonts w:ascii="Times New Roman" w:hAnsi="Times New Roman" w:eastAsia="仿宋_GB2312" w:cs="Times New Roman"/>
          <w:color w:val="auto"/>
          <w:sz w:val="32"/>
          <w:u w:val="none"/>
          <w:shd w:val="clear" w:color="auto" w:fill="FFFFFF"/>
        </w:rPr>
        <w:t>年预算持平</w:t>
      </w:r>
      <w:r>
        <w:rPr>
          <w:rFonts w:hint="eastAsia" w:ascii="Times New Roman" w:hAnsi="Times New Roman" w:eastAsia="仿宋_GB2312" w:cs="Times New Roman"/>
          <w:color w:val="auto"/>
          <w:sz w:val="32"/>
          <w:u w:val="none"/>
          <w:shd w:val="clear" w:color="auto" w:fill="FFFFFF"/>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cs="Times New Roman"/>
          <w:color w:val="auto"/>
          <w:sz w:val="32"/>
          <w:u w:val="none"/>
          <w:shd w:val="clear" w:color="auto" w:fill="FFFFFF"/>
        </w:rPr>
      </w:pPr>
      <w:r>
        <w:rPr>
          <w:rFonts w:hint="eastAsia" w:ascii="黑体" w:hAnsi="黑体" w:eastAsia="黑体" w:cs="Times New Roman"/>
          <w:color w:val="auto"/>
          <w:sz w:val="32"/>
          <w:u w:val="none"/>
          <w:shd w:val="clear" w:color="auto" w:fill="FFFFFF"/>
        </w:rPr>
        <w:t>五、</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ascii="黑体" w:hAnsi="黑体" w:eastAsia="黑体" w:cs="Times New Roman"/>
          <w:color w:val="auto"/>
          <w:sz w:val="32"/>
          <w:u w:val="none"/>
          <w:shd w:val="clear" w:color="auto" w:fill="FFFFFF"/>
        </w:rPr>
        <w:t>年</w:t>
      </w:r>
      <w:r>
        <w:rPr>
          <w:rFonts w:hint="eastAsia" w:ascii="黑体" w:hAnsi="黑体" w:eastAsia="黑体" w:cs="Times New Roman"/>
          <w:color w:val="auto"/>
          <w:sz w:val="32"/>
          <w:u w:val="none"/>
          <w:shd w:val="clear" w:color="auto" w:fill="FFFFFF"/>
        </w:rPr>
        <w:t>政府性基金预算当年拨款情况说明</w:t>
      </w:r>
    </w:p>
    <w:p>
      <w:pPr>
        <w:keepNext w:val="0"/>
        <w:keepLines w:val="0"/>
        <w:pageBreakBefore w:val="0"/>
        <w:kinsoku/>
        <w:wordWrap/>
        <w:overflowPunct/>
        <w:topLinePunct w:val="0"/>
        <w:bidi w:val="0"/>
        <w:snapToGrid/>
        <w:spacing w:line="560" w:lineRule="exact"/>
        <w:ind w:firstLine="640" w:firstLineChars="200"/>
        <w:jc w:val="left"/>
        <w:textAlignment w:val="auto"/>
        <w:rPr>
          <w:rFonts w:ascii="楷体" w:hAnsi="楷体" w:eastAsia="楷体"/>
          <w:color w:val="auto"/>
          <w:sz w:val="32"/>
          <w:szCs w:val="32"/>
          <w:u w:val="none"/>
        </w:rPr>
      </w:pPr>
      <w:r>
        <w:rPr>
          <w:rFonts w:hint="eastAsia" w:ascii="楷体" w:hAnsi="楷体" w:eastAsia="楷体"/>
          <w:color w:val="auto"/>
          <w:sz w:val="32"/>
          <w:szCs w:val="32"/>
          <w:u w:val="none"/>
        </w:rPr>
        <w:t>（一）政府性基金预算当年规模变化情况</w:t>
      </w:r>
    </w:p>
    <w:p>
      <w:pPr>
        <w:keepNext w:val="0"/>
        <w:keepLines w:val="0"/>
        <w:pageBreakBefore w:val="0"/>
        <w:kinsoku/>
        <w:wordWrap/>
        <w:overflowPunct/>
        <w:topLinePunct w:val="0"/>
        <w:bidi w:val="0"/>
        <w:snapToGrid/>
        <w:spacing w:line="560" w:lineRule="exact"/>
        <w:ind w:firstLine="630"/>
        <w:textAlignment w:val="auto"/>
        <w:rPr>
          <w:rFonts w:ascii="仿宋_GB2312" w:hAnsi="黑体" w:eastAsia="仿宋_GB2312"/>
          <w:color w:val="auto"/>
          <w:sz w:val="32"/>
          <w:szCs w:val="32"/>
          <w:u w:val="none"/>
        </w:rPr>
      </w:pP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rPr>
        <w:t>年</w:t>
      </w:r>
      <w:r>
        <w:rPr>
          <w:rFonts w:hint="eastAsia" w:ascii="仿宋_GB2312" w:hAnsi="黑体" w:eastAsia="仿宋_GB2312"/>
          <w:color w:val="auto"/>
          <w:sz w:val="32"/>
          <w:szCs w:val="32"/>
          <w:u w:val="none"/>
        </w:rPr>
        <w:t>政府性基金预算当年拨款</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万元，比上年预算数</w:t>
      </w:r>
      <w:r>
        <w:rPr>
          <w:rFonts w:hint="eastAsia" w:ascii="仿宋_GB2312" w:hAnsi="黑体" w:eastAsia="仿宋_GB2312" w:cs="仿宋_GB2312"/>
          <w:color w:val="auto"/>
          <w:sz w:val="32"/>
          <w:szCs w:val="32"/>
          <w:u w:val="none"/>
        </w:rPr>
        <w:t>持平</w:t>
      </w:r>
      <w:r>
        <w:rPr>
          <w:rFonts w:hint="eastAsia" w:ascii="仿宋_GB2312" w:hAnsi="黑体" w:eastAsia="仿宋_GB2312" w:cs="仿宋_GB2312"/>
          <w:color w:val="auto"/>
          <w:sz w:val="32"/>
          <w:szCs w:val="32"/>
          <w:u w:val="none"/>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keepNext w:val="0"/>
        <w:keepLines w:val="0"/>
        <w:pageBreakBefore w:val="0"/>
        <w:kinsoku/>
        <w:wordWrap/>
        <w:overflowPunct/>
        <w:topLinePunct w:val="0"/>
        <w:bidi w:val="0"/>
        <w:snapToGrid/>
        <w:spacing w:line="560" w:lineRule="exact"/>
        <w:ind w:firstLine="640"/>
        <w:jc w:val="left"/>
        <w:textAlignment w:val="auto"/>
        <w:rPr>
          <w:rFonts w:ascii="楷体" w:hAnsi="楷体" w:eastAsia="楷体"/>
          <w:color w:val="auto"/>
          <w:sz w:val="32"/>
          <w:szCs w:val="32"/>
          <w:u w:val="none"/>
        </w:rPr>
      </w:pPr>
      <w:r>
        <w:rPr>
          <w:rFonts w:hint="eastAsia" w:ascii="楷体" w:hAnsi="楷体" w:eastAsia="楷体"/>
          <w:color w:val="auto"/>
          <w:sz w:val="32"/>
          <w:szCs w:val="32"/>
          <w:u w:val="none"/>
        </w:rPr>
        <w:t>（二）政府性基金预算当年拨款结构情况</w:t>
      </w:r>
    </w:p>
    <w:p>
      <w:pPr>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黑体" w:eastAsia="仿宋_GB2312"/>
          <w:color w:val="auto"/>
          <w:sz w:val="32"/>
          <w:szCs w:val="32"/>
          <w:u w:val="none"/>
          <w:lang w:eastAsia="zh-CN"/>
        </w:rPr>
      </w:pPr>
      <w:r>
        <w:rPr>
          <w:rFonts w:hint="eastAsia" w:ascii="仿宋_GB2312" w:hAnsi="黑体" w:eastAsia="仿宋_GB2312" w:cs="仿宋_GB2312"/>
          <w:color w:val="auto"/>
          <w:sz w:val="32"/>
          <w:szCs w:val="32"/>
          <w:u w:val="none"/>
        </w:rPr>
        <w:t>科学技术支出（类）支出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%；文化体育与传媒支出（类）</w:t>
      </w:r>
      <w:r>
        <w:rPr>
          <w:rFonts w:hint="eastAsia" w:ascii="仿宋_GB2312" w:hAnsi="黑体" w:eastAsia="仿宋_GB2312" w:cs="仿宋_GB2312"/>
          <w:color w:val="auto"/>
          <w:sz w:val="32"/>
          <w:szCs w:val="32"/>
          <w:u w:val="none"/>
        </w:rPr>
        <w:t>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%；社会保障和就业支出（类）</w:t>
      </w:r>
      <w:r>
        <w:rPr>
          <w:rFonts w:hint="eastAsia" w:ascii="仿宋_GB2312" w:hAnsi="黑体" w:eastAsia="仿宋_GB2312" w:cs="仿宋_GB2312"/>
          <w:color w:val="auto"/>
          <w:sz w:val="32"/>
          <w:szCs w:val="32"/>
          <w:u w:val="none"/>
        </w:rPr>
        <w:t>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%；节能环保（类）</w:t>
      </w:r>
      <w:r>
        <w:rPr>
          <w:rFonts w:hint="eastAsia" w:ascii="仿宋_GB2312" w:hAnsi="黑体" w:eastAsia="仿宋_GB2312" w:cs="仿宋_GB2312"/>
          <w:color w:val="auto"/>
          <w:sz w:val="32"/>
          <w:szCs w:val="32"/>
          <w:u w:val="none"/>
        </w:rPr>
        <w:t>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w:t>
      </w:r>
      <w:r>
        <w:rPr>
          <w:rFonts w:hint="eastAsia" w:ascii="仿宋_GB2312" w:hAnsi="黑体" w:eastAsia="仿宋_GB2312"/>
          <w:color w:val="auto"/>
          <w:sz w:val="32"/>
          <w:szCs w:val="32"/>
          <w:u w:val="none"/>
          <w:lang w:eastAsia="zh-CN"/>
        </w:rPr>
        <w:t>。</w:t>
      </w:r>
    </w:p>
    <w:p>
      <w:pPr>
        <w:keepNext w:val="0"/>
        <w:keepLines w:val="0"/>
        <w:pageBreakBefore w:val="0"/>
        <w:kinsoku/>
        <w:wordWrap/>
        <w:overflowPunct/>
        <w:topLinePunct w:val="0"/>
        <w:bidi w:val="0"/>
        <w:snapToGrid/>
        <w:spacing w:line="560" w:lineRule="exact"/>
        <w:ind w:firstLine="640"/>
        <w:jc w:val="left"/>
        <w:textAlignment w:val="auto"/>
        <w:rPr>
          <w:rFonts w:ascii="楷体" w:hAnsi="楷体" w:eastAsia="楷体"/>
          <w:color w:val="auto"/>
          <w:sz w:val="32"/>
          <w:szCs w:val="32"/>
          <w:u w:val="none"/>
        </w:rPr>
      </w:pPr>
      <w:r>
        <w:rPr>
          <w:rFonts w:hint="eastAsia" w:ascii="楷体" w:hAnsi="楷体" w:eastAsia="楷体"/>
          <w:color w:val="auto"/>
          <w:sz w:val="32"/>
          <w:szCs w:val="32"/>
          <w:u w:val="none"/>
        </w:rPr>
        <w:t>（三）政府性基金预算当年拨款具体使用情况</w:t>
      </w:r>
    </w:p>
    <w:p>
      <w:pPr>
        <w:keepNext w:val="0"/>
        <w:keepLines w:val="0"/>
        <w:pageBreakBefore w:val="0"/>
        <w:kinsoku/>
        <w:wordWrap/>
        <w:overflowPunct/>
        <w:topLinePunct w:val="0"/>
        <w:bidi w:val="0"/>
        <w:snapToGrid/>
        <w:spacing w:line="560" w:lineRule="exact"/>
        <w:ind w:firstLine="630"/>
        <w:textAlignment w:val="auto"/>
        <w:rPr>
          <w:rFonts w:ascii="仿宋_GB2312" w:hAnsi="黑体" w:eastAsia="仿宋_GB2312"/>
          <w:color w:val="auto"/>
          <w:sz w:val="32"/>
          <w:szCs w:val="32"/>
          <w:u w:val="none"/>
        </w:rPr>
      </w:pPr>
      <w:r>
        <w:rPr>
          <w:rFonts w:hint="eastAsia" w:ascii="仿宋_GB2312" w:hAnsi="黑体" w:eastAsia="仿宋_GB2312" w:cs="仿宋_GB2312"/>
          <w:color w:val="auto"/>
          <w:sz w:val="32"/>
          <w:szCs w:val="32"/>
          <w:u w:val="none"/>
        </w:rPr>
        <w:t>1. 科学技术支出（类）核电站乏燃料处理处置基金支出（款）乏燃料运输（项）</w:t>
      </w:r>
      <w:r>
        <w:rPr>
          <w:rFonts w:hint="eastAsia" w:ascii="仿宋_GB2312" w:hAnsi="黑体" w:eastAsia="仿宋_GB2312" w:cs="仿宋_GB2312"/>
          <w:color w:val="auto"/>
          <w:sz w:val="32"/>
          <w:szCs w:val="32"/>
          <w:u w:val="none"/>
          <w:lang w:val="en-US" w:eastAsia="zh-CN"/>
        </w:rPr>
        <w:t>2020</w:t>
      </w:r>
      <w:r>
        <w:rPr>
          <w:rFonts w:hint="eastAsia" w:ascii="仿宋_GB2312" w:hAnsi="黑体" w:eastAsia="仿宋_GB2312"/>
          <w:color w:val="auto"/>
          <w:sz w:val="32"/>
          <w:szCs w:val="32"/>
          <w:u w:val="none"/>
        </w:rPr>
        <w:t>年预算数为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万元，比上年预算数</w:t>
      </w:r>
      <w:r>
        <w:rPr>
          <w:rFonts w:hint="eastAsia" w:ascii="仿宋_GB2312" w:hAnsi="黑体" w:eastAsia="仿宋_GB2312" w:cs="仿宋_GB2312"/>
          <w:color w:val="auto"/>
          <w:sz w:val="32"/>
          <w:szCs w:val="32"/>
          <w:u w:val="none"/>
        </w:rPr>
        <w:t>持平</w:t>
      </w:r>
      <w:r>
        <w:rPr>
          <w:rFonts w:hint="eastAsia" w:ascii="仿宋_GB2312" w:hAnsi="黑体" w:eastAsia="仿宋_GB2312" w:cs="仿宋_GB2312"/>
          <w:color w:val="auto"/>
          <w:sz w:val="32"/>
          <w:szCs w:val="32"/>
          <w:u w:val="none"/>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keepNext w:val="0"/>
        <w:keepLines w:val="0"/>
        <w:pageBreakBefore w:val="0"/>
        <w:kinsoku/>
        <w:wordWrap/>
        <w:overflowPunct/>
        <w:topLinePunct w:val="0"/>
        <w:bidi w:val="0"/>
        <w:snapToGrid/>
        <w:spacing w:line="560" w:lineRule="exact"/>
        <w:ind w:firstLine="630"/>
        <w:textAlignment w:val="auto"/>
        <w:rPr>
          <w:rFonts w:ascii="仿宋_GB2312" w:hAnsi="黑体" w:eastAsia="仿宋_GB2312"/>
          <w:color w:val="auto"/>
          <w:sz w:val="32"/>
          <w:szCs w:val="32"/>
          <w:u w:val="none"/>
        </w:rPr>
      </w:pPr>
      <w:r>
        <w:rPr>
          <w:rFonts w:hint="eastAsia" w:ascii="仿宋_GB2312" w:hAnsi="黑体" w:eastAsia="仿宋_GB2312"/>
          <w:color w:val="auto"/>
          <w:sz w:val="32"/>
          <w:szCs w:val="32"/>
          <w:u w:val="none"/>
        </w:rPr>
        <w:t>2.</w:t>
      </w:r>
      <w:r>
        <w:rPr>
          <w:rFonts w:hint="eastAsia" w:ascii="仿宋_GB2312" w:hAnsi="黑体" w:eastAsia="仿宋_GB2312" w:cs="仿宋_GB2312"/>
          <w:color w:val="auto"/>
          <w:sz w:val="32"/>
          <w:szCs w:val="32"/>
          <w:u w:val="none"/>
        </w:rPr>
        <w:t xml:space="preserve"> 科学技术支出（类）核电站乏燃料处理处置基金支出（款）乏燃料离堆贮存（项）</w:t>
      </w:r>
      <w:r>
        <w:rPr>
          <w:rFonts w:hint="eastAsia" w:ascii="仿宋_GB2312" w:hAnsi="黑体" w:eastAsia="仿宋_GB2312" w:cs="仿宋_GB2312"/>
          <w:color w:val="auto"/>
          <w:sz w:val="32"/>
          <w:szCs w:val="32"/>
          <w:u w:val="none"/>
          <w:lang w:val="en-US" w:eastAsia="zh-CN"/>
        </w:rPr>
        <w:t>2020</w:t>
      </w:r>
      <w:r>
        <w:rPr>
          <w:rFonts w:hint="eastAsia" w:ascii="仿宋_GB2312" w:hAnsi="黑体" w:eastAsia="仿宋_GB2312"/>
          <w:color w:val="auto"/>
          <w:sz w:val="32"/>
          <w:szCs w:val="32"/>
          <w:u w:val="none"/>
        </w:rPr>
        <w:t>年预算数为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万元，比上年预算数</w:t>
      </w:r>
      <w:r>
        <w:rPr>
          <w:rFonts w:hint="eastAsia" w:ascii="仿宋_GB2312" w:hAnsi="黑体" w:eastAsia="仿宋_GB2312" w:cs="仿宋_GB2312"/>
          <w:color w:val="auto"/>
          <w:sz w:val="32"/>
          <w:szCs w:val="32"/>
          <w:u w:val="none"/>
        </w:rPr>
        <w:t>持平</w:t>
      </w:r>
      <w:r>
        <w:rPr>
          <w:rFonts w:hint="eastAsia" w:ascii="仿宋_GB2312" w:hAnsi="黑体" w:eastAsia="仿宋_GB2312" w:cs="仿宋_GB2312"/>
          <w:color w:val="auto"/>
          <w:sz w:val="32"/>
          <w:szCs w:val="32"/>
          <w:u w:val="none"/>
          <w:lang w:eastAsia="zh-CN"/>
        </w:rPr>
        <w:t>。</w:t>
      </w:r>
      <w:r>
        <w:rPr>
          <w:rFonts w:ascii="Times New Roman" w:hAnsi="Times New Roman" w:eastAsia="仿宋_GB2312" w:cs="Times New Roman"/>
          <w:color w:val="auto"/>
          <w:sz w:val="32"/>
          <w:u w:val="none"/>
          <w:shd w:val="clear" w:color="auto" w:fill="FFFFFF"/>
        </w:rPr>
        <w:t>主要原因：</w:t>
      </w:r>
      <w:r>
        <w:rPr>
          <w:rFonts w:hint="eastAsia" w:ascii="Times New Roman" w:hAnsi="Times New Roman" w:eastAsia="仿宋_GB2312" w:cs="Times New Roman"/>
          <w:color w:val="auto"/>
          <w:sz w:val="32"/>
          <w:u w:val="none"/>
          <w:shd w:val="clear" w:color="auto" w:fill="FFFFFF"/>
          <w:lang w:val="en-US" w:eastAsia="zh-CN"/>
        </w:rPr>
        <w:t>2019年无此项预算安排</w:t>
      </w:r>
      <w:r>
        <w:rPr>
          <w:rFonts w:hint="eastAsia" w:ascii="Times New Roman" w:hAnsi="Times New Roman" w:eastAsia="仿宋_GB2312" w:cs="Times New Roman"/>
          <w:color w:val="auto"/>
          <w:sz w:val="32"/>
          <w:u w:val="none"/>
          <w:shd w:val="clear" w:color="auto" w:fill="FFFFFF"/>
        </w:rPr>
        <w:t>。</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cs="Times New Roman"/>
          <w:color w:val="auto"/>
          <w:sz w:val="32"/>
          <w:u w:val="none"/>
          <w:shd w:val="clear" w:color="auto" w:fill="FFFFFF"/>
        </w:rPr>
      </w:pPr>
      <w:r>
        <w:rPr>
          <w:rFonts w:hint="eastAsia" w:ascii="黑体" w:hAnsi="黑体" w:eastAsia="黑体" w:cs="Times New Roman"/>
          <w:color w:val="auto"/>
          <w:sz w:val="32"/>
          <w:u w:val="none"/>
          <w:shd w:val="clear" w:color="auto" w:fill="FFFFFF"/>
        </w:rPr>
        <w:t>六、关于</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ascii="黑体" w:hAnsi="黑体" w:eastAsia="黑体" w:cs="Times New Roman"/>
          <w:color w:val="auto"/>
          <w:sz w:val="32"/>
          <w:u w:val="none"/>
          <w:shd w:val="clear" w:color="auto" w:fill="FFFFFF"/>
        </w:rPr>
        <w:t>年</w:t>
      </w:r>
      <w:r>
        <w:rPr>
          <w:rFonts w:hint="eastAsia" w:ascii="黑体" w:hAnsi="黑体" w:eastAsia="黑体" w:cs="Times New Roman"/>
          <w:color w:val="auto"/>
          <w:sz w:val="32"/>
          <w:u w:val="none"/>
          <w:shd w:val="clear" w:color="auto" w:fill="FFFFFF"/>
        </w:rPr>
        <w:t>收支预算情况的总体说明</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hAnsi="黑体" w:eastAsia="仿宋_GB2312"/>
          <w:color w:val="auto"/>
          <w:sz w:val="32"/>
          <w:szCs w:val="32"/>
          <w:u w:val="none"/>
        </w:rPr>
      </w:pPr>
      <w:r>
        <w:rPr>
          <w:rFonts w:hint="eastAsia" w:ascii="仿宋_GB2312" w:hAnsi="黑体" w:eastAsia="仿宋_GB2312" w:cs="仿宋_GB2312"/>
          <w:color w:val="auto"/>
          <w:sz w:val="32"/>
          <w:szCs w:val="32"/>
          <w:u w:val="none"/>
        </w:rPr>
        <w:t>按照综合预算原则，</w:t>
      </w: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黑体" w:eastAsia="仿宋_GB2312" w:cs="仿宋_GB2312"/>
          <w:color w:val="auto"/>
          <w:sz w:val="32"/>
          <w:szCs w:val="32"/>
          <w:u w:val="none"/>
        </w:rPr>
        <w:t>所有收入和支出均纳入部门预算管理。收入包括：一般公共预算收入</w:t>
      </w:r>
      <w:r>
        <w:rPr>
          <w:rFonts w:hint="eastAsia" w:ascii="仿宋_GB2312" w:hAnsi="黑体" w:eastAsia="仿宋_GB2312"/>
          <w:color w:val="auto"/>
          <w:sz w:val="32"/>
          <w:szCs w:val="32"/>
          <w:u w:val="none"/>
        </w:rPr>
        <w:t>；支出包括：一般公共服务支出、</w:t>
      </w:r>
      <w:r>
        <w:rPr>
          <w:rFonts w:hint="eastAsia" w:ascii="仿宋_GB2312" w:hAnsi="黑体" w:eastAsia="仿宋_GB2312"/>
          <w:color w:val="auto"/>
          <w:sz w:val="32"/>
          <w:szCs w:val="32"/>
          <w:u w:val="none"/>
          <w:lang w:eastAsia="zh-CN"/>
        </w:rPr>
        <w:t>社会保障和就业支出、卫生健康支出、住房保障支出</w:t>
      </w:r>
      <w:r>
        <w:rPr>
          <w:rFonts w:hint="eastAsia" w:ascii="仿宋_GB2312" w:hAnsi="黑体" w:eastAsia="仿宋_GB2312"/>
          <w:color w:val="auto"/>
          <w:sz w:val="32"/>
          <w:szCs w:val="32"/>
          <w:u w:val="none"/>
        </w:rPr>
        <w:t>。</w:t>
      </w: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w:t>
      </w:r>
      <w:r>
        <w:rPr>
          <w:rFonts w:hint="eastAsia" w:ascii="仿宋_GB2312" w:hAnsi="黑体" w:eastAsia="仿宋_GB2312"/>
          <w:color w:val="auto"/>
          <w:sz w:val="32"/>
          <w:szCs w:val="32"/>
          <w:u w:val="none"/>
        </w:rPr>
        <w:t>年收支总预算</w:t>
      </w:r>
      <w:r>
        <w:rPr>
          <w:rFonts w:hint="eastAsia" w:ascii="仿宋_GB2312" w:hAnsi="黑体" w:eastAsia="仿宋_GB2312" w:cs="仿宋_GB2312"/>
          <w:color w:val="auto"/>
          <w:sz w:val="32"/>
          <w:szCs w:val="32"/>
          <w:u w:val="none"/>
          <w:lang w:val="en-US" w:eastAsia="zh-CN"/>
        </w:rPr>
        <w:t>212.99</w:t>
      </w:r>
      <w:r>
        <w:rPr>
          <w:rFonts w:hint="eastAsia" w:ascii="仿宋_GB2312" w:hAnsi="黑体" w:eastAsia="仿宋_GB2312"/>
          <w:color w:val="auto"/>
          <w:sz w:val="32"/>
          <w:szCs w:val="32"/>
          <w:u w:val="none"/>
        </w:rPr>
        <w:t>万元。</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黑体" w:hAnsi="黑体" w:eastAsia="黑体" w:cs="黑体"/>
          <w:color w:val="auto"/>
          <w:sz w:val="32"/>
          <w:u w:val="none"/>
          <w:shd w:val="clear" w:color="auto" w:fill="FFFFFF"/>
        </w:rPr>
      </w:pPr>
      <w:r>
        <w:rPr>
          <w:rFonts w:hint="eastAsia" w:ascii="黑体" w:hAnsi="黑体" w:eastAsia="黑体" w:cs="Times New Roman"/>
          <w:color w:val="auto"/>
          <w:sz w:val="32"/>
          <w:u w:val="none"/>
          <w:shd w:val="clear" w:color="auto" w:fill="FFFFFF"/>
        </w:rPr>
        <w:t>七、</w:t>
      </w:r>
      <w:r>
        <w:rPr>
          <w:rFonts w:hint="eastAsia" w:ascii="黑体" w:hAnsi="黑体" w:eastAsia="黑体" w:cs="黑体"/>
          <w:color w:val="auto"/>
          <w:sz w:val="32"/>
          <w:u w:val="none"/>
          <w:shd w:val="clear" w:color="auto" w:fill="FFFFFF"/>
        </w:rPr>
        <w:t>关于</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hint="eastAsia" w:ascii="黑体" w:hAnsi="黑体" w:eastAsia="黑体" w:cs="黑体"/>
          <w:color w:val="auto"/>
          <w:sz w:val="32"/>
          <w:u w:val="none"/>
          <w:shd w:val="clear" w:color="auto" w:fill="FFFFFF"/>
        </w:rPr>
        <w:t>年收入预算情况说明</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w:t>
      </w:r>
      <w:r>
        <w:rPr>
          <w:rFonts w:hint="eastAsia" w:ascii="仿宋_GB2312" w:hAnsi="黑体" w:eastAsia="仿宋_GB2312"/>
          <w:color w:val="auto"/>
          <w:sz w:val="32"/>
          <w:szCs w:val="32"/>
          <w:u w:val="none"/>
        </w:rPr>
        <w:t>年收入预算</w:t>
      </w:r>
      <w:r>
        <w:rPr>
          <w:rFonts w:hint="eastAsia" w:ascii="仿宋_GB2312" w:hAnsi="黑体" w:eastAsia="仿宋_GB2312" w:cs="仿宋_GB2312"/>
          <w:color w:val="auto"/>
          <w:sz w:val="32"/>
          <w:szCs w:val="32"/>
          <w:u w:val="none"/>
          <w:lang w:val="en-US" w:eastAsia="zh-CN"/>
        </w:rPr>
        <w:t>212.99</w:t>
      </w:r>
      <w:r>
        <w:rPr>
          <w:rFonts w:hint="eastAsia" w:ascii="仿宋_GB2312" w:hAnsi="黑体" w:eastAsia="仿宋_GB2312"/>
          <w:color w:val="auto"/>
          <w:sz w:val="32"/>
          <w:szCs w:val="32"/>
          <w:u w:val="none"/>
        </w:rPr>
        <w:t>万元，其中：上年结转</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%；一般公共预算收入</w:t>
      </w:r>
      <w:r>
        <w:rPr>
          <w:rFonts w:hint="eastAsia" w:ascii="仿宋_GB2312" w:hAnsi="黑体" w:eastAsia="仿宋_GB2312" w:cs="仿宋_GB2312"/>
          <w:color w:val="auto"/>
          <w:sz w:val="32"/>
          <w:szCs w:val="32"/>
          <w:u w:val="none"/>
          <w:lang w:val="en-US" w:eastAsia="zh-CN"/>
        </w:rPr>
        <w:t>212.99</w:t>
      </w:r>
      <w:r>
        <w:rPr>
          <w:rFonts w:hint="eastAsia" w:ascii="仿宋_GB2312" w:hAnsi="黑体" w:eastAsia="仿宋_GB2312"/>
          <w:color w:val="auto"/>
          <w:sz w:val="32"/>
          <w:szCs w:val="32"/>
          <w:u w:val="none"/>
        </w:rPr>
        <w:t>万元，占</w:t>
      </w:r>
      <w:r>
        <w:rPr>
          <w:rFonts w:hint="eastAsia" w:ascii="仿宋_GB2312" w:hAnsi="黑体" w:eastAsia="仿宋_GB2312"/>
          <w:color w:val="auto"/>
          <w:sz w:val="32"/>
          <w:szCs w:val="32"/>
          <w:u w:val="none"/>
          <w:lang w:val="en-US" w:eastAsia="zh-CN"/>
        </w:rPr>
        <w:t>10</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%；政府性基金收入</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%；专项收入</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w:t>
      </w:r>
      <w:r>
        <w:rPr>
          <w:rFonts w:hint="eastAsia" w:ascii="仿宋_GB2312" w:hAnsi="黑体"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黑体" w:hAnsi="黑体" w:eastAsia="黑体" w:cs="Times New Roman"/>
          <w:color w:val="auto"/>
          <w:sz w:val="32"/>
          <w:u w:val="none"/>
          <w:shd w:val="clear" w:color="auto" w:fill="FFFFFF"/>
        </w:rPr>
      </w:pPr>
      <w:r>
        <w:rPr>
          <w:rFonts w:hint="eastAsia" w:ascii="黑体" w:hAnsi="黑体" w:eastAsia="黑体" w:cs="Times New Roman"/>
          <w:color w:val="auto"/>
          <w:sz w:val="32"/>
          <w:u w:val="none"/>
          <w:shd w:val="clear" w:color="auto" w:fill="FFFFFF"/>
        </w:rPr>
        <w:t>八、关于</w:t>
      </w:r>
      <w:r>
        <w:rPr>
          <w:rFonts w:hint="eastAsia" w:ascii="黑体" w:hAnsi="黑体" w:eastAsia="黑体" w:cs="黑体"/>
          <w:color w:val="auto"/>
          <w:sz w:val="32"/>
          <w:szCs w:val="32"/>
          <w:u w:val="none"/>
          <w:lang w:eastAsia="zh-CN"/>
        </w:rPr>
        <w:t>三亚市崖州区统计局</w:t>
      </w:r>
      <w:r>
        <w:rPr>
          <w:rFonts w:hint="eastAsia" w:ascii="黑体" w:hAnsi="黑体" w:eastAsia="黑体" w:cs="黑体"/>
          <w:color w:val="auto"/>
          <w:sz w:val="32"/>
          <w:szCs w:val="32"/>
          <w:u w:val="none"/>
          <w:lang w:val="en-US" w:eastAsia="zh-CN"/>
        </w:rPr>
        <w:t>2020</w:t>
      </w:r>
      <w:r>
        <w:rPr>
          <w:rFonts w:ascii="黑体" w:hAnsi="黑体" w:eastAsia="黑体" w:cs="Times New Roman"/>
          <w:color w:val="auto"/>
          <w:sz w:val="32"/>
          <w:u w:val="none"/>
          <w:shd w:val="clear" w:color="auto" w:fill="FFFFFF"/>
        </w:rPr>
        <w:t>年</w:t>
      </w:r>
      <w:r>
        <w:rPr>
          <w:rFonts w:hint="eastAsia" w:ascii="黑体" w:hAnsi="黑体" w:eastAsia="黑体" w:cs="Times New Roman"/>
          <w:color w:val="auto"/>
          <w:sz w:val="32"/>
          <w:u w:val="none"/>
          <w:shd w:val="clear" w:color="auto" w:fill="FFFFFF"/>
        </w:rPr>
        <w:t>支出预算情况说明</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hAnsi="黑体" w:eastAsia="仿宋_GB2312"/>
          <w:color w:val="auto"/>
          <w:sz w:val="32"/>
          <w:szCs w:val="32"/>
          <w:u w:val="none"/>
        </w:rPr>
      </w:pPr>
      <w:r>
        <w:rPr>
          <w:rFonts w:hint="eastAsia" w:ascii="仿宋_GB2312" w:hAnsi="仿宋_GB2312" w:eastAsia="仿宋_GB2312" w:cs="仿宋_GB2312"/>
          <w:color w:val="auto"/>
          <w:sz w:val="32"/>
          <w:szCs w:val="32"/>
          <w:u w:val="none"/>
          <w:lang w:eastAsia="zh-CN"/>
        </w:rPr>
        <w:t>三亚市崖州区统计局</w:t>
      </w:r>
      <w:r>
        <w:rPr>
          <w:rFonts w:hint="eastAsia" w:ascii="仿宋_GB2312" w:hAnsi="仿宋_GB2312" w:eastAsia="仿宋_GB2312" w:cs="仿宋_GB2312"/>
          <w:color w:val="auto"/>
          <w:sz w:val="32"/>
          <w:szCs w:val="32"/>
          <w:u w:val="none"/>
          <w:lang w:val="en-US" w:eastAsia="zh-CN"/>
        </w:rPr>
        <w:t>2020年</w:t>
      </w:r>
      <w:r>
        <w:rPr>
          <w:rFonts w:hint="eastAsia" w:ascii="仿宋_GB2312" w:hAnsi="黑体" w:eastAsia="仿宋_GB2312"/>
          <w:color w:val="auto"/>
          <w:sz w:val="32"/>
          <w:szCs w:val="32"/>
          <w:u w:val="none"/>
        </w:rPr>
        <w:t>支出预算</w:t>
      </w:r>
      <w:r>
        <w:rPr>
          <w:rFonts w:hint="eastAsia" w:ascii="仿宋_GB2312" w:hAnsi="黑体" w:eastAsia="仿宋_GB2312" w:cs="仿宋_GB2312"/>
          <w:color w:val="auto"/>
          <w:sz w:val="32"/>
          <w:szCs w:val="32"/>
          <w:u w:val="none"/>
          <w:lang w:val="en-US" w:eastAsia="zh-CN"/>
        </w:rPr>
        <w:t>212.99</w:t>
      </w:r>
      <w:r>
        <w:rPr>
          <w:rFonts w:hint="eastAsia" w:ascii="仿宋_GB2312" w:hAnsi="黑体" w:eastAsia="仿宋_GB2312"/>
          <w:color w:val="auto"/>
          <w:sz w:val="32"/>
          <w:szCs w:val="32"/>
          <w:u w:val="none"/>
        </w:rPr>
        <w:t>万元，其中：基本支出</w:t>
      </w:r>
      <w:r>
        <w:rPr>
          <w:rFonts w:hint="eastAsia" w:ascii="仿宋_GB2312" w:hAnsi="仿宋_GB2312" w:eastAsia="仿宋_GB2312" w:cs="仿宋_GB2312"/>
          <w:color w:val="auto"/>
          <w:sz w:val="32"/>
          <w:szCs w:val="32"/>
          <w:highlight w:val="none"/>
          <w:u w:val="none"/>
          <w:lang w:val="en-US" w:eastAsia="zh-CN"/>
        </w:rPr>
        <w:t>85.99</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40.37</w:t>
      </w:r>
      <w:r>
        <w:rPr>
          <w:rFonts w:hint="eastAsia" w:ascii="仿宋_GB2312" w:hAnsi="黑体" w:eastAsia="仿宋_GB2312"/>
          <w:color w:val="auto"/>
          <w:sz w:val="32"/>
          <w:szCs w:val="32"/>
          <w:u w:val="none"/>
        </w:rPr>
        <w:t>%；项目支出</w:t>
      </w:r>
      <w:r>
        <w:rPr>
          <w:rFonts w:hint="eastAsia" w:ascii="仿宋_GB2312" w:hAnsi="黑体" w:eastAsia="仿宋_GB2312" w:cs="仿宋_GB2312"/>
          <w:color w:val="auto"/>
          <w:sz w:val="32"/>
          <w:szCs w:val="32"/>
          <w:u w:val="none"/>
          <w:lang w:val="en-US" w:eastAsia="zh-CN"/>
        </w:rPr>
        <w:t>127</w:t>
      </w:r>
      <w:r>
        <w:rPr>
          <w:rFonts w:hint="eastAsia" w:ascii="仿宋_GB2312" w:hAnsi="黑体" w:eastAsia="仿宋_GB2312"/>
          <w:color w:val="auto"/>
          <w:sz w:val="32"/>
          <w:szCs w:val="32"/>
          <w:u w:val="none"/>
        </w:rPr>
        <w:t>万元，占</w:t>
      </w:r>
      <w:r>
        <w:rPr>
          <w:rFonts w:hint="eastAsia" w:ascii="仿宋_GB2312" w:hAnsi="黑体" w:eastAsia="仿宋_GB2312" w:cs="仿宋_GB2312"/>
          <w:color w:val="auto"/>
          <w:sz w:val="32"/>
          <w:szCs w:val="32"/>
          <w:u w:val="none"/>
          <w:lang w:val="en-US" w:eastAsia="zh-CN"/>
        </w:rPr>
        <w:t>59.63</w:t>
      </w:r>
      <w:r>
        <w:rPr>
          <w:rFonts w:hint="eastAsia" w:ascii="仿宋_GB2312" w:hAnsi="黑体"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黑体" w:hAnsi="黑体" w:eastAsia="黑体" w:cs="Times New Roman"/>
          <w:color w:val="auto"/>
          <w:sz w:val="32"/>
          <w:u w:val="none"/>
          <w:shd w:val="clear" w:color="auto" w:fill="FFFFFF"/>
        </w:rPr>
      </w:pPr>
      <w:r>
        <w:rPr>
          <w:rFonts w:hint="eastAsia" w:ascii="黑体" w:hAnsi="黑体" w:eastAsia="黑体" w:cs="Times New Roman"/>
          <w:color w:val="auto"/>
          <w:sz w:val="32"/>
          <w:u w:val="none"/>
          <w:shd w:val="clear" w:color="auto" w:fill="FFFFFF"/>
        </w:rPr>
        <w:t>九、其他重要事项的情况说明</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楷体" w:hAnsi="楷体" w:eastAsia="楷体"/>
          <w:color w:val="auto"/>
          <w:sz w:val="32"/>
          <w:szCs w:val="32"/>
          <w:u w:val="none"/>
        </w:rPr>
      </w:pPr>
      <w:r>
        <w:rPr>
          <w:rFonts w:hint="eastAsia" w:ascii="楷体" w:hAnsi="楷体" w:eastAsia="楷体"/>
          <w:color w:val="auto"/>
          <w:sz w:val="32"/>
          <w:szCs w:val="32"/>
          <w:u w:val="none"/>
        </w:rPr>
        <w:t>（一）机关运行经费</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_GB2312" w:hAnsi="黑体" w:eastAsia="仿宋_GB2312"/>
          <w:color w:val="auto"/>
          <w:sz w:val="32"/>
          <w:szCs w:val="32"/>
          <w:u w:val="none"/>
        </w:rPr>
      </w:pPr>
      <w:r>
        <w:rPr>
          <w:rFonts w:hint="eastAsia" w:ascii="仿宋_GB2312" w:hAnsi="黑体" w:eastAsia="仿宋_GB2312" w:cs="仿宋_GB2312"/>
          <w:color w:val="auto"/>
          <w:sz w:val="32"/>
          <w:szCs w:val="32"/>
          <w:u w:val="none"/>
          <w:lang w:val="en-US" w:eastAsia="zh-CN"/>
        </w:rPr>
        <w:t>2020</w:t>
      </w:r>
      <w:r>
        <w:rPr>
          <w:rFonts w:hint="eastAsia" w:ascii="仿宋_GB2312" w:hAnsi="黑体" w:eastAsia="仿宋_GB2312"/>
          <w:color w:val="auto"/>
          <w:sz w:val="32"/>
          <w:szCs w:val="32"/>
          <w:u w:val="none"/>
        </w:rPr>
        <w:t>年</w:t>
      </w:r>
      <w:r>
        <w:rPr>
          <w:rFonts w:hint="eastAsia" w:ascii="仿宋_GB2312" w:hAnsi="黑体" w:eastAsia="仿宋_GB2312" w:cs="仿宋_GB2312"/>
          <w:color w:val="auto"/>
          <w:sz w:val="32"/>
          <w:szCs w:val="32"/>
          <w:u w:val="none"/>
          <w:lang w:eastAsia="zh-CN"/>
        </w:rPr>
        <w:t>三亚市崖州区统计局</w:t>
      </w:r>
      <w:r>
        <w:rPr>
          <w:rFonts w:hint="eastAsia" w:ascii="仿宋_GB2312" w:hAnsi="黑体" w:eastAsia="仿宋_GB2312" w:cs="仿宋_GB2312"/>
          <w:color w:val="auto"/>
          <w:sz w:val="32"/>
          <w:szCs w:val="32"/>
          <w:u w:val="none"/>
        </w:rPr>
        <w:t>本级的机关运行经费预算</w:t>
      </w:r>
      <w:r>
        <w:rPr>
          <w:rFonts w:hint="eastAsia" w:ascii="仿宋_GB2312" w:hAnsi="黑体" w:eastAsia="仿宋_GB2312" w:cs="仿宋_GB2312"/>
          <w:color w:val="auto"/>
          <w:sz w:val="32"/>
          <w:szCs w:val="32"/>
          <w:u w:val="none"/>
          <w:lang w:val="en-US" w:eastAsia="zh-CN"/>
        </w:rPr>
        <w:t>7.79</w:t>
      </w:r>
      <w:r>
        <w:rPr>
          <w:rFonts w:hint="eastAsia" w:ascii="仿宋_GB2312" w:hAnsi="黑体" w:eastAsia="仿宋_GB2312"/>
          <w:color w:val="auto"/>
          <w:sz w:val="32"/>
          <w:szCs w:val="32"/>
          <w:u w:val="none"/>
        </w:rPr>
        <w:t>万元。</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楷体" w:hAnsi="楷体" w:eastAsia="楷体"/>
          <w:color w:val="auto"/>
          <w:sz w:val="32"/>
          <w:szCs w:val="32"/>
          <w:u w:val="none"/>
        </w:rPr>
      </w:pPr>
      <w:r>
        <w:rPr>
          <w:rFonts w:hint="eastAsia" w:ascii="楷体" w:hAnsi="楷体" w:eastAsia="楷体"/>
          <w:color w:val="auto"/>
          <w:sz w:val="32"/>
          <w:szCs w:val="32"/>
          <w:u w:val="none"/>
        </w:rPr>
        <w:t>（二）政府采购情况</w:t>
      </w:r>
    </w:p>
    <w:p>
      <w:pPr>
        <w:keepNext w:val="0"/>
        <w:keepLines w:val="0"/>
        <w:pageBreakBefore w:val="0"/>
        <w:widowControl w:val="0"/>
        <w:kinsoku/>
        <w:wordWrap/>
        <w:overflowPunct/>
        <w:topLinePunct w:val="0"/>
        <w:autoSpaceDE/>
        <w:autoSpaceDN/>
        <w:bidi w:val="0"/>
        <w:adjustRightInd/>
        <w:snapToGrid/>
        <w:spacing w:line="556" w:lineRule="exact"/>
        <w:ind w:firstLine="640"/>
        <w:textAlignment w:val="auto"/>
        <w:rPr>
          <w:rFonts w:ascii="仿宋_GB2312" w:hAnsi="黑体" w:eastAsia="仿宋_GB2312"/>
          <w:color w:val="auto"/>
          <w:sz w:val="32"/>
          <w:szCs w:val="32"/>
          <w:u w:val="none"/>
        </w:rPr>
      </w:pPr>
      <w:r>
        <w:rPr>
          <w:rFonts w:hint="eastAsia" w:ascii="仿宋_GB2312" w:hAnsi="黑体" w:eastAsia="仿宋_GB2312" w:cs="仿宋_GB2312"/>
          <w:color w:val="auto"/>
          <w:sz w:val="32"/>
          <w:szCs w:val="32"/>
          <w:u w:val="none"/>
          <w:lang w:val="en-US" w:eastAsia="zh-CN"/>
        </w:rPr>
        <w:t>2020</w:t>
      </w:r>
      <w:r>
        <w:rPr>
          <w:rFonts w:hint="eastAsia" w:ascii="仿宋_GB2312" w:hAnsi="黑体" w:eastAsia="仿宋_GB2312"/>
          <w:color w:val="auto"/>
          <w:sz w:val="32"/>
          <w:szCs w:val="32"/>
          <w:u w:val="none"/>
        </w:rPr>
        <w:t>年</w:t>
      </w:r>
      <w:r>
        <w:rPr>
          <w:rFonts w:hint="eastAsia" w:ascii="仿宋_GB2312" w:hAnsi="黑体" w:eastAsia="仿宋_GB2312" w:cs="仿宋_GB2312"/>
          <w:color w:val="auto"/>
          <w:sz w:val="32"/>
          <w:szCs w:val="32"/>
          <w:u w:val="none"/>
          <w:lang w:eastAsia="zh-CN"/>
        </w:rPr>
        <w:t>三亚市崖州区统计局</w:t>
      </w:r>
      <w:r>
        <w:rPr>
          <w:rFonts w:hint="eastAsia" w:ascii="仿宋_GB2312" w:hAnsi="黑体" w:eastAsia="仿宋_GB2312" w:cs="仿宋_GB2312"/>
          <w:color w:val="auto"/>
          <w:sz w:val="32"/>
          <w:szCs w:val="32"/>
          <w:u w:val="none"/>
        </w:rPr>
        <w:t>本级</w:t>
      </w:r>
      <w:r>
        <w:rPr>
          <w:rFonts w:hint="eastAsia" w:ascii="仿宋_GB2312" w:hAnsi="黑体" w:eastAsia="仿宋_GB2312" w:cs="仿宋_GB2312"/>
          <w:color w:val="auto"/>
          <w:sz w:val="32"/>
          <w:szCs w:val="32"/>
          <w:u w:val="none"/>
          <w:lang w:eastAsia="zh-CN"/>
        </w:rPr>
        <w:t>的</w:t>
      </w:r>
      <w:r>
        <w:rPr>
          <w:rFonts w:hint="eastAsia" w:ascii="仿宋_GB2312" w:hAnsi="黑体" w:eastAsia="仿宋_GB2312" w:cs="仿宋_GB2312"/>
          <w:color w:val="auto"/>
          <w:sz w:val="32"/>
          <w:szCs w:val="32"/>
          <w:u w:val="none"/>
        </w:rPr>
        <w:t>预算单位政府采购预算总额</w:t>
      </w:r>
      <w:r>
        <w:rPr>
          <w:rFonts w:hint="eastAsia" w:ascii="仿宋_GB2312" w:hAnsi="黑体" w:eastAsia="仿宋_GB2312" w:cs="仿宋_GB2312"/>
          <w:color w:val="auto"/>
          <w:sz w:val="32"/>
          <w:szCs w:val="32"/>
          <w:u w:val="none"/>
          <w:lang w:val="en-US" w:eastAsia="zh-CN"/>
        </w:rPr>
        <w:t>6</w:t>
      </w:r>
      <w:r>
        <w:rPr>
          <w:rFonts w:hint="eastAsia" w:ascii="仿宋_GB2312" w:hAnsi="黑体" w:eastAsia="仿宋_GB2312"/>
          <w:color w:val="auto"/>
          <w:sz w:val="32"/>
          <w:szCs w:val="32"/>
          <w:u w:val="none"/>
        </w:rPr>
        <w:t>万元，其中：政府采购货物预算</w:t>
      </w:r>
      <w:r>
        <w:rPr>
          <w:rFonts w:hint="eastAsia" w:ascii="仿宋_GB2312" w:hAnsi="黑体" w:eastAsia="仿宋_GB2312" w:cs="仿宋_GB2312"/>
          <w:color w:val="auto"/>
          <w:sz w:val="32"/>
          <w:szCs w:val="32"/>
          <w:u w:val="none"/>
          <w:lang w:val="en-US" w:eastAsia="zh-CN"/>
        </w:rPr>
        <w:t>6</w:t>
      </w:r>
      <w:r>
        <w:rPr>
          <w:rFonts w:hint="eastAsia" w:ascii="仿宋_GB2312" w:hAnsi="黑体" w:eastAsia="仿宋_GB2312"/>
          <w:color w:val="auto"/>
          <w:sz w:val="32"/>
          <w:szCs w:val="32"/>
          <w:u w:val="none"/>
        </w:rPr>
        <w:t>万元，政府采购工程预算</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万元，政府采购服务预算</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楷体" w:hAnsi="楷体" w:eastAsia="楷体"/>
          <w:color w:val="auto"/>
          <w:sz w:val="32"/>
          <w:szCs w:val="32"/>
          <w:u w:val="none"/>
        </w:rPr>
      </w:pPr>
      <w:r>
        <w:rPr>
          <w:rFonts w:hint="eastAsia" w:ascii="楷体" w:hAnsi="楷体" w:eastAsia="楷体"/>
          <w:color w:val="auto"/>
          <w:sz w:val="32"/>
          <w:szCs w:val="32"/>
          <w:u w:val="none"/>
        </w:rPr>
        <w:t>（三）国有资产占有使用情况</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cs="仿宋_GB2312"/>
          <w:color w:val="auto"/>
          <w:sz w:val="32"/>
          <w:szCs w:val="32"/>
          <w:u w:val="none"/>
        </w:rPr>
      </w:pPr>
      <w:r>
        <w:rPr>
          <w:rFonts w:hint="eastAsia" w:ascii="仿宋_GB2312" w:hAnsi="黑体" w:eastAsia="仿宋_GB2312" w:cs="仿宋_GB2312"/>
          <w:color w:val="auto"/>
          <w:sz w:val="32"/>
          <w:szCs w:val="32"/>
          <w:u w:val="none"/>
        </w:rPr>
        <w:t>截至</w:t>
      </w:r>
      <w:r>
        <w:rPr>
          <w:rFonts w:hint="eastAsia" w:ascii="仿宋_GB2312" w:hAnsi="黑体" w:eastAsia="仿宋_GB2312" w:cs="仿宋_GB2312"/>
          <w:color w:val="auto"/>
          <w:sz w:val="32"/>
          <w:szCs w:val="32"/>
          <w:u w:val="none"/>
          <w:lang w:val="en-US" w:eastAsia="zh-CN"/>
        </w:rPr>
        <w:t>2019</w:t>
      </w:r>
      <w:r>
        <w:rPr>
          <w:rFonts w:hint="eastAsia" w:ascii="仿宋_GB2312" w:hAnsi="黑体" w:eastAsia="仿宋_GB2312"/>
          <w:color w:val="auto"/>
          <w:sz w:val="32"/>
          <w:szCs w:val="32"/>
          <w:u w:val="none"/>
        </w:rPr>
        <w:t>年12月31日，</w:t>
      </w:r>
      <w:r>
        <w:rPr>
          <w:rFonts w:hint="eastAsia" w:ascii="仿宋_GB2312" w:hAnsi="黑体" w:eastAsia="仿宋_GB2312" w:cs="仿宋_GB2312"/>
          <w:color w:val="auto"/>
          <w:sz w:val="32"/>
          <w:szCs w:val="32"/>
          <w:u w:val="none"/>
          <w:lang w:eastAsia="zh-CN"/>
        </w:rPr>
        <w:t>三亚市崖州区统计局</w:t>
      </w:r>
      <w:r>
        <w:rPr>
          <w:rFonts w:hint="eastAsia" w:ascii="仿宋_GB2312" w:hAnsi="黑体" w:eastAsia="仿宋_GB2312" w:cs="仿宋_GB2312"/>
          <w:color w:val="auto"/>
          <w:sz w:val="32"/>
          <w:szCs w:val="32"/>
          <w:u w:val="none"/>
        </w:rPr>
        <w:t>本级预算单位共有车辆</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s="仿宋_GB2312"/>
          <w:color w:val="auto"/>
          <w:sz w:val="32"/>
          <w:szCs w:val="32"/>
          <w:u w:val="none"/>
        </w:rPr>
        <w:t>辆，其中，领导干部用车</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s="仿宋_GB2312"/>
          <w:color w:val="auto"/>
          <w:sz w:val="32"/>
          <w:szCs w:val="32"/>
          <w:u w:val="none"/>
        </w:rPr>
        <w:t>辆，机要通信应急用车</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s="仿宋_GB2312"/>
          <w:color w:val="auto"/>
          <w:sz w:val="32"/>
          <w:szCs w:val="32"/>
          <w:u w:val="none"/>
        </w:rPr>
        <w:t>辆、一般执法执勤用车</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s="仿宋_GB2312"/>
          <w:color w:val="auto"/>
          <w:sz w:val="32"/>
          <w:szCs w:val="32"/>
          <w:u w:val="none"/>
        </w:rPr>
        <w:t>辆、特种专业技术用车</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s="仿宋_GB2312"/>
          <w:color w:val="auto"/>
          <w:sz w:val="32"/>
          <w:szCs w:val="32"/>
          <w:u w:val="none"/>
        </w:rPr>
        <w:t>辆、其他用车</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s="仿宋_GB2312"/>
          <w:color w:val="auto"/>
          <w:sz w:val="32"/>
          <w:szCs w:val="32"/>
          <w:u w:val="none"/>
        </w:rPr>
        <w:t>辆。单位价值100万元以上设备</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s="仿宋_GB2312"/>
          <w:color w:val="auto"/>
          <w:sz w:val="32"/>
          <w:szCs w:val="32"/>
          <w:u w:val="none"/>
        </w:rPr>
        <w:t>台（套）。</w:t>
      </w:r>
    </w:p>
    <w:p>
      <w:pPr>
        <w:keepNext w:val="0"/>
        <w:keepLines w:val="0"/>
        <w:pageBreakBefore w:val="0"/>
        <w:kinsoku/>
        <w:wordWrap/>
        <w:overflowPunct/>
        <w:topLinePunct w:val="0"/>
        <w:bidi w:val="0"/>
        <w:snapToGrid/>
        <w:spacing w:line="560" w:lineRule="exact"/>
        <w:ind w:firstLine="640" w:firstLineChars="200"/>
        <w:textAlignment w:val="auto"/>
        <w:rPr>
          <w:rFonts w:ascii="楷体" w:hAnsi="楷体" w:eastAsia="楷体"/>
          <w:color w:val="auto"/>
          <w:sz w:val="32"/>
          <w:szCs w:val="32"/>
          <w:u w:val="none"/>
        </w:rPr>
      </w:pPr>
      <w:r>
        <w:rPr>
          <w:rFonts w:hint="eastAsia" w:ascii="楷体" w:hAnsi="楷体" w:eastAsia="楷体"/>
          <w:color w:val="auto"/>
          <w:sz w:val="32"/>
          <w:szCs w:val="32"/>
          <w:u w:val="none"/>
        </w:rPr>
        <w:t>（四）绩效目标设置情况</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黑体" w:eastAsia="仿宋_GB2312"/>
          <w:color w:val="auto"/>
          <w:sz w:val="32"/>
          <w:szCs w:val="32"/>
          <w:u w:val="none"/>
        </w:rPr>
      </w:pPr>
      <w:r>
        <w:rPr>
          <w:rFonts w:hint="eastAsia" w:ascii="仿宋_GB2312" w:hAnsi="黑体" w:eastAsia="仿宋_GB2312" w:cs="仿宋_GB2312"/>
          <w:color w:val="auto"/>
          <w:sz w:val="32"/>
          <w:szCs w:val="32"/>
          <w:u w:val="none"/>
          <w:lang w:val="en-US" w:eastAsia="zh-CN"/>
        </w:rPr>
        <w:t>2020</w:t>
      </w:r>
      <w:r>
        <w:rPr>
          <w:rFonts w:hint="eastAsia" w:ascii="仿宋_GB2312" w:hAnsi="黑体" w:eastAsia="仿宋_GB2312"/>
          <w:color w:val="auto"/>
          <w:sz w:val="32"/>
          <w:szCs w:val="32"/>
          <w:u w:val="none"/>
        </w:rPr>
        <w:t>年</w:t>
      </w:r>
      <w:r>
        <w:rPr>
          <w:rFonts w:hint="eastAsia" w:ascii="仿宋_GB2312" w:hAnsi="黑体" w:eastAsia="仿宋_GB2312" w:cs="仿宋_GB2312"/>
          <w:color w:val="auto"/>
          <w:sz w:val="32"/>
          <w:szCs w:val="32"/>
          <w:u w:val="none"/>
          <w:lang w:eastAsia="zh-CN"/>
        </w:rPr>
        <w:t>三亚市崖州区统计</w:t>
      </w:r>
      <w:r>
        <w:rPr>
          <w:rFonts w:hint="eastAsia" w:ascii="仿宋_GB2312" w:hAnsi="黑体" w:eastAsia="仿宋_GB2312" w:cs="仿宋_GB2312"/>
          <w:color w:val="auto"/>
          <w:sz w:val="32"/>
          <w:szCs w:val="32"/>
          <w:highlight w:val="none"/>
          <w:u w:val="none"/>
          <w:lang w:eastAsia="zh-CN"/>
        </w:rPr>
        <w:t>局</w:t>
      </w:r>
      <w:r>
        <w:rPr>
          <w:rFonts w:hint="eastAsia" w:ascii="仿宋_GB2312" w:hAnsi="黑体" w:eastAsia="仿宋_GB2312" w:cs="仿宋_GB2312"/>
          <w:color w:val="auto"/>
          <w:sz w:val="32"/>
          <w:szCs w:val="32"/>
          <w:highlight w:val="none"/>
          <w:u w:val="none"/>
          <w:lang w:val="en-US" w:eastAsia="zh-CN"/>
        </w:rPr>
        <w:t>1</w:t>
      </w:r>
      <w:r>
        <w:rPr>
          <w:rFonts w:hint="eastAsia" w:ascii="仿宋_GB2312" w:hAnsi="黑体" w:eastAsia="仿宋_GB2312" w:cs="仿宋_GB2312"/>
          <w:color w:val="auto"/>
          <w:sz w:val="32"/>
          <w:szCs w:val="32"/>
          <w:highlight w:val="none"/>
          <w:u w:val="none"/>
        </w:rPr>
        <w:t>个项</w:t>
      </w:r>
      <w:r>
        <w:rPr>
          <w:rFonts w:hint="eastAsia" w:ascii="仿宋_GB2312" w:hAnsi="黑体" w:eastAsia="仿宋_GB2312" w:cs="仿宋_GB2312"/>
          <w:color w:val="auto"/>
          <w:sz w:val="32"/>
          <w:szCs w:val="32"/>
          <w:u w:val="none"/>
        </w:rPr>
        <w:t>目实行绩效目标管理，涉及一般公共预算</w:t>
      </w:r>
      <w:r>
        <w:rPr>
          <w:rFonts w:hint="eastAsia" w:ascii="仿宋_GB2312" w:hAnsi="黑体" w:eastAsia="仿宋_GB2312" w:cs="仿宋_GB2312"/>
          <w:color w:val="auto"/>
          <w:sz w:val="32"/>
          <w:szCs w:val="32"/>
          <w:u w:val="none"/>
          <w:lang w:val="en-US" w:eastAsia="zh-CN"/>
        </w:rPr>
        <w:t>57</w:t>
      </w:r>
      <w:r>
        <w:rPr>
          <w:rFonts w:hint="eastAsia" w:ascii="仿宋_GB2312" w:hAnsi="黑体" w:eastAsia="仿宋_GB2312"/>
          <w:color w:val="auto"/>
          <w:sz w:val="32"/>
          <w:szCs w:val="32"/>
          <w:u w:val="none"/>
        </w:rPr>
        <w:t>万元、政府性基金</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w:t>
      </w:r>
    </w:p>
    <w:p>
      <w:pPr>
        <w:keepNext w:val="0"/>
        <w:keepLines w:val="0"/>
        <w:pageBreakBefore w:val="0"/>
        <w:kinsoku/>
        <w:wordWrap/>
        <w:overflowPunct/>
        <w:topLinePunct w:val="0"/>
        <w:bidi w:val="0"/>
        <w:snapToGrid/>
        <w:spacing w:line="560" w:lineRule="exact"/>
        <w:jc w:val="center"/>
        <w:textAlignment w:val="auto"/>
        <w:rPr>
          <w:rFonts w:ascii="黑体" w:hAnsi="黑体" w:eastAsia="黑体"/>
          <w:color w:val="auto"/>
          <w:sz w:val="32"/>
          <w:szCs w:val="32"/>
          <w:u w:val="none"/>
        </w:rPr>
      </w:pPr>
    </w:p>
    <w:p>
      <w:pPr>
        <w:keepNext w:val="0"/>
        <w:keepLines w:val="0"/>
        <w:pageBreakBefore w:val="0"/>
        <w:kinsoku/>
        <w:wordWrap/>
        <w:overflowPunct/>
        <w:topLinePunct w:val="0"/>
        <w:bidi w:val="0"/>
        <w:snapToGrid/>
        <w:spacing w:line="560" w:lineRule="exact"/>
        <w:jc w:val="left"/>
        <w:textAlignment w:val="auto"/>
        <w:rPr>
          <w:rFonts w:ascii="仿宋_GB2312" w:hAnsi="宋体" w:eastAsia="仿宋_GB2312" w:cs="宋体"/>
          <w:color w:val="auto"/>
          <w:kern w:val="0"/>
          <w:sz w:val="32"/>
          <w:szCs w:val="30"/>
          <w:u w:val="none"/>
        </w:rPr>
      </w:pPr>
    </w:p>
    <w:p>
      <w:pPr>
        <w:keepNext w:val="0"/>
        <w:keepLines w:val="0"/>
        <w:pageBreakBefore w:val="0"/>
        <w:kinsoku/>
        <w:wordWrap/>
        <w:overflowPunct/>
        <w:topLinePunct w:val="0"/>
        <w:bidi w:val="0"/>
        <w:snapToGrid/>
        <w:spacing w:line="560" w:lineRule="exact"/>
        <w:jc w:val="center"/>
        <w:textAlignment w:val="auto"/>
        <w:rPr>
          <w:rFonts w:ascii="黑体" w:hAnsi="黑体" w:eastAsia="黑体"/>
          <w:b/>
          <w:color w:val="auto"/>
          <w:sz w:val="32"/>
          <w:szCs w:val="32"/>
          <w:u w:val="none"/>
        </w:rPr>
      </w:pPr>
      <w:r>
        <w:rPr>
          <w:rFonts w:hint="eastAsia" w:ascii="黑体" w:hAnsi="黑体" w:eastAsia="黑体"/>
          <w:b/>
          <w:color w:val="auto"/>
          <w:sz w:val="32"/>
          <w:szCs w:val="32"/>
          <w:u w:val="none"/>
        </w:rPr>
        <w:t>第四部分  名词解释</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2"/>
          <w:u w:val="none"/>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宋体"/>
          <w:bCs/>
          <w:color w:val="auto"/>
          <w:kern w:val="0"/>
          <w:sz w:val="32"/>
          <w:szCs w:val="32"/>
          <w:u w:val="none"/>
          <w:lang w:val="zh-CN"/>
        </w:rPr>
      </w:pPr>
      <w:r>
        <w:rPr>
          <w:rFonts w:hint="eastAsia" w:ascii="仿宋_GB2312" w:hAnsi="宋体" w:eastAsia="仿宋_GB2312" w:cs="宋体"/>
          <w:color w:val="auto"/>
          <w:kern w:val="0"/>
          <w:sz w:val="32"/>
          <w:szCs w:val="32"/>
          <w:u w:val="none"/>
        </w:rPr>
        <w:t>一、一般公共预算收入：</w:t>
      </w:r>
      <w:r>
        <w:rPr>
          <w:rFonts w:hint="eastAsia" w:ascii="仿宋_GB2312" w:eastAsia="仿宋_GB2312" w:cs="宋体"/>
          <w:bCs/>
          <w:color w:val="auto"/>
          <w:kern w:val="0"/>
          <w:sz w:val="32"/>
          <w:szCs w:val="32"/>
          <w:u w:val="none"/>
          <w:lang w:val="zh-CN"/>
        </w:rPr>
        <w:t>指用于反映税收收入、专项收入、行政事业性收费收入、罚没收入、国有资源（资产）有偿使用收入、政府住房基金收入、捐赠收入等财政收入。</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二、政府性基金收入：</w:t>
      </w:r>
      <w:r>
        <w:rPr>
          <w:rFonts w:hint="eastAsia" w:ascii="仿宋_GB2312" w:eastAsia="仿宋_GB2312" w:cs="宋体"/>
          <w:bCs/>
          <w:color w:val="auto"/>
          <w:kern w:val="0"/>
          <w:sz w:val="32"/>
          <w:szCs w:val="32"/>
          <w:u w:val="none"/>
          <w:lang w:val="zh-CN"/>
        </w:rPr>
        <w:t>指是用于反映政府为支持某项事业发展或特定基础设施建设，依法依规向公民、法人和其他组织征收的以及出让土地、发行彩票等方式取得的具有专门用途的资金。</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三、其他财政资金收入：</w:t>
      </w:r>
      <w:r>
        <w:rPr>
          <w:rFonts w:hint="eastAsia" w:ascii="仿宋_GB2312" w:eastAsia="仿宋_GB2312" w:cs="宋体"/>
          <w:bCs/>
          <w:color w:val="auto"/>
          <w:kern w:val="0"/>
          <w:sz w:val="32"/>
          <w:szCs w:val="32"/>
          <w:u w:val="none"/>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auto"/>
          <w:kern w:val="0"/>
          <w:sz w:val="32"/>
          <w:szCs w:val="32"/>
          <w:u w:val="none"/>
        </w:rPr>
        <w:t xml:space="preserve"> </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四、收回存量资金收入：</w:t>
      </w:r>
      <w:r>
        <w:rPr>
          <w:rFonts w:hint="eastAsia" w:ascii="仿宋_GB2312" w:eastAsia="仿宋_GB2312" w:cs="宋体"/>
          <w:bCs/>
          <w:color w:val="auto"/>
          <w:kern w:val="0"/>
          <w:sz w:val="32"/>
          <w:szCs w:val="32"/>
          <w:u w:val="none"/>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auto"/>
          <w:kern w:val="0"/>
          <w:sz w:val="32"/>
          <w:szCs w:val="32"/>
          <w:u w:val="none"/>
        </w:rPr>
        <w:t xml:space="preserve"> </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五、事业收入：</w:t>
      </w:r>
      <w:r>
        <w:rPr>
          <w:rFonts w:hint="eastAsia" w:ascii="仿宋_GB2312" w:eastAsia="仿宋_GB2312" w:cs="宋体"/>
          <w:bCs/>
          <w:color w:val="auto"/>
          <w:kern w:val="0"/>
          <w:sz w:val="32"/>
          <w:szCs w:val="32"/>
          <w:u w:val="none"/>
          <w:lang w:val="zh-CN"/>
        </w:rPr>
        <w:t>指用于反映事业单位开展专业业务活动及辅助活动所取得的收入。</w:t>
      </w:r>
      <w:r>
        <w:rPr>
          <w:rFonts w:hint="eastAsia" w:ascii="仿宋_GB2312" w:hAnsi="宋体" w:eastAsia="仿宋_GB2312" w:cs="宋体"/>
          <w:color w:val="auto"/>
          <w:kern w:val="0"/>
          <w:sz w:val="32"/>
          <w:szCs w:val="32"/>
          <w:u w:val="none"/>
        </w:rPr>
        <w:t xml:space="preserve"> </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六、</w:t>
      </w:r>
      <w:r>
        <w:rPr>
          <w:rFonts w:hint="eastAsia" w:ascii="仿宋_GB2312" w:eastAsia="仿宋_GB2312"/>
          <w:color w:val="auto"/>
          <w:sz w:val="32"/>
          <w:szCs w:val="32"/>
          <w:u w:val="none"/>
        </w:rPr>
        <w:t>事业单位经营收入</w:t>
      </w:r>
      <w:r>
        <w:rPr>
          <w:rFonts w:hint="eastAsia" w:ascii="仿宋_GB2312" w:hAnsi="宋体" w:eastAsia="仿宋_GB2312" w:cs="宋体"/>
          <w:color w:val="auto"/>
          <w:kern w:val="0"/>
          <w:sz w:val="32"/>
          <w:szCs w:val="32"/>
          <w:u w:val="none"/>
        </w:rPr>
        <w:t>：</w:t>
      </w:r>
      <w:r>
        <w:rPr>
          <w:rFonts w:hint="eastAsia" w:ascii="仿宋_GB2312" w:eastAsia="仿宋_GB2312" w:cs="宋体"/>
          <w:bCs/>
          <w:color w:val="auto"/>
          <w:kern w:val="0"/>
          <w:sz w:val="32"/>
          <w:szCs w:val="32"/>
          <w:u w:val="none"/>
          <w:lang w:val="zh-CN"/>
        </w:rPr>
        <w:t>指用于反映事业单位在专业活动及辅助活动之外开展非独立核算经营活动取得的收入。</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七、其他收入：</w:t>
      </w:r>
      <w:r>
        <w:rPr>
          <w:rFonts w:hint="eastAsia" w:ascii="仿宋_GB2312" w:eastAsia="仿宋_GB2312" w:cs="宋体"/>
          <w:bCs/>
          <w:color w:val="auto"/>
          <w:kern w:val="0"/>
          <w:sz w:val="32"/>
          <w:szCs w:val="32"/>
          <w:u w:val="none"/>
          <w:lang w:val="zh-CN"/>
        </w:rPr>
        <w:t>指用于反映除上述一般公共预算收入、政府性基金收入、其他财政性资金收入、收回存量资金收入、事业收入、事业单位经营收入和往来收入以外的收入。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宋体"/>
          <w:bCs/>
          <w:color w:val="auto"/>
          <w:kern w:val="0"/>
          <w:sz w:val="32"/>
          <w:szCs w:val="32"/>
          <w:u w:val="none"/>
          <w:lang w:val="zh-CN"/>
        </w:rPr>
      </w:pPr>
      <w:r>
        <w:rPr>
          <w:rFonts w:hint="eastAsia" w:ascii="仿宋_GB2312" w:hAnsi="宋体" w:eastAsia="仿宋_GB2312" w:cs="宋体"/>
          <w:color w:val="auto"/>
          <w:kern w:val="0"/>
          <w:sz w:val="32"/>
          <w:szCs w:val="32"/>
          <w:u w:val="none"/>
        </w:rPr>
        <w:t>八、</w:t>
      </w:r>
      <w:r>
        <w:rPr>
          <w:rFonts w:hint="eastAsia" w:ascii="仿宋_GB2312" w:eastAsia="仿宋_GB2312"/>
          <w:color w:val="auto"/>
          <w:sz w:val="32"/>
          <w:szCs w:val="32"/>
          <w:u w:val="none"/>
        </w:rPr>
        <w:t>用事业基金弥补收支差额</w:t>
      </w:r>
      <w:r>
        <w:rPr>
          <w:rFonts w:hint="eastAsia" w:ascii="仿宋_GB2312" w:hAnsi="宋体" w:eastAsia="仿宋_GB2312" w:cs="宋体"/>
          <w:color w:val="auto"/>
          <w:kern w:val="0"/>
          <w:sz w:val="32"/>
          <w:szCs w:val="32"/>
          <w:u w:val="none"/>
        </w:rPr>
        <w:t>：</w:t>
      </w:r>
      <w:r>
        <w:rPr>
          <w:rFonts w:hint="eastAsia" w:ascii="仿宋_GB2312" w:eastAsia="仿宋_GB2312" w:cs="宋体"/>
          <w:bCs/>
          <w:color w:val="auto"/>
          <w:kern w:val="0"/>
          <w:sz w:val="32"/>
          <w:szCs w:val="32"/>
          <w:u w:val="none"/>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宋体"/>
          <w:bCs/>
          <w:color w:val="auto"/>
          <w:kern w:val="0"/>
          <w:sz w:val="32"/>
          <w:szCs w:val="32"/>
          <w:u w:val="none"/>
          <w:lang w:val="zh-CN"/>
        </w:rPr>
      </w:pPr>
      <w:r>
        <w:rPr>
          <w:rFonts w:hint="eastAsia" w:ascii="仿宋_GB2312" w:hAnsi="宋体" w:eastAsia="仿宋_GB2312" w:cs="宋体"/>
          <w:color w:val="auto"/>
          <w:kern w:val="0"/>
          <w:sz w:val="32"/>
          <w:szCs w:val="32"/>
          <w:u w:val="none"/>
        </w:rPr>
        <w:t>九、</w:t>
      </w:r>
      <w:r>
        <w:rPr>
          <w:rFonts w:hint="eastAsia" w:ascii="仿宋_GB2312" w:eastAsia="仿宋_GB2312"/>
          <w:color w:val="auto"/>
          <w:sz w:val="32"/>
          <w:szCs w:val="32"/>
          <w:u w:val="none"/>
        </w:rPr>
        <w:t>上年结转结余收入</w:t>
      </w:r>
      <w:r>
        <w:rPr>
          <w:rFonts w:hint="eastAsia" w:ascii="仿宋_GB2312" w:hAnsi="宋体" w:eastAsia="仿宋_GB2312" w:cs="宋体"/>
          <w:color w:val="auto"/>
          <w:kern w:val="0"/>
          <w:sz w:val="32"/>
          <w:szCs w:val="32"/>
          <w:u w:val="none"/>
        </w:rPr>
        <w:t>：</w:t>
      </w:r>
      <w:r>
        <w:rPr>
          <w:rFonts w:hint="eastAsia" w:ascii="仿宋_GB2312" w:eastAsia="仿宋_GB2312" w:cs="宋体"/>
          <w:bCs/>
          <w:color w:val="auto"/>
          <w:kern w:val="0"/>
          <w:sz w:val="32"/>
          <w:szCs w:val="32"/>
          <w:u w:val="none"/>
          <w:lang w:val="zh-CN"/>
        </w:rPr>
        <w:t>指用于反映以前年度尚未完成、结转到本年仍按规定用途继续使用的资金等。</w:t>
      </w:r>
    </w:p>
    <w:p>
      <w:pPr>
        <w:keepNext w:val="0"/>
        <w:keepLines w:val="0"/>
        <w:pageBreakBefore w:val="0"/>
        <w:widowControl/>
        <w:kinsoku/>
        <w:wordWrap/>
        <w:overflowPunct/>
        <w:topLinePunct w:val="0"/>
        <w:bidi w:val="0"/>
        <w:snapToGrid/>
        <w:spacing w:line="560" w:lineRule="exact"/>
        <w:ind w:firstLine="640" w:firstLineChars="200"/>
        <w:textAlignment w:val="auto"/>
        <w:rPr>
          <w:rFonts w:ascii="仿宋_GB2312" w:hAnsi="宋体" w:eastAsia="仿宋_GB2312" w:cs="宋体"/>
          <w:color w:val="auto"/>
          <w:kern w:val="0"/>
          <w:sz w:val="32"/>
          <w:szCs w:val="30"/>
          <w:u w:val="none"/>
        </w:rPr>
      </w:pPr>
      <w:r>
        <w:rPr>
          <w:rFonts w:hint="eastAsia" w:ascii="仿宋_GB2312" w:hAnsi="宋体" w:eastAsia="仿宋_GB2312" w:cs="宋体"/>
          <w:color w:val="auto"/>
          <w:kern w:val="0"/>
          <w:sz w:val="32"/>
          <w:szCs w:val="30"/>
          <w:u w:val="none"/>
        </w:rPr>
        <w:t>十、一般公共服务（类）××事务（款）行政运行（项）：指××用于保障机构正常运行、开展日常工作的基本支出。</w:t>
      </w:r>
    </w:p>
    <w:p>
      <w:pPr>
        <w:keepNext w:val="0"/>
        <w:keepLines w:val="0"/>
        <w:pageBreakBefore w:val="0"/>
        <w:widowControl/>
        <w:kinsoku/>
        <w:wordWrap/>
        <w:overflowPunct/>
        <w:topLinePunct w:val="0"/>
        <w:bidi w:val="0"/>
        <w:snapToGrid/>
        <w:spacing w:line="560" w:lineRule="exact"/>
        <w:ind w:firstLine="640" w:firstLineChars="200"/>
        <w:textAlignment w:val="auto"/>
        <w:rPr>
          <w:rFonts w:ascii="仿宋_GB2312" w:hAnsi="宋体" w:eastAsia="仿宋_GB2312" w:cs="宋体"/>
          <w:color w:val="auto"/>
          <w:kern w:val="0"/>
          <w:sz w:val="32"/>
          <w:szCs w:val="30"/>
          <w:u w:val="none"/>
        </w:rPr>
      </w:pPr>
      <w:r>
        <w:rPr>
          <w:rFonts w:hint="eastAsia" w:ascii="仿宋_GB2312" w:hAnsi="宋体" w:eastAsia="仿宋_GB2312" w:cs="宋体"/>
          <w:color w:val="auto"/>
          <w:kern w:val="0"/>
          <w:sz w:val="32"/>
          <w:szCs w:val="30"/>
          <w:u w:val="none"/>
        </w:rPr>
        <w:t>十一、一般公共服务（类）××事务（款）一般行政管理事务（项）：指用于××等未单独设置项级科目的项目支出。</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0"/>
          <w:u w:val="none"/>
        </w:rPr>
      </w:pPr>
      <w:r>
        <w:rPr>
          <w:rFonts w:hint="eastAsia" w:ascii="仿宋_GB2312" w:hAnsi="宋体" w:eastAsia="仿宋_GB2312" w:cs="宋体"/>
          <w:color w:val="auto"/>
          <w:kern w:val="0"/>
          <w:sz w:val="32"/>
          <w:szCs w:val="30"/>
          <w:u w:val="none"/>
        </w:rPr>
        <w:t>十二、基本支出：指行政事业单位用于为保障其机构正常运转、完成日常工作任务而发生的人员支出和公用支出。</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0"/>
          <w:u w:val="none"/>
        </w:rPr>
      </w:pPr>
      <w:r>
        <w:rPr>
          <w:rFonts w:hint="eastAsia" w:ascii="仿宋_GB2312" w:hAnsi="宋体" w:eastAsia="仿宋_GB2312" w:cs="宋体"/>
          <w:color w:val="auto"/>
          <w:kern w:val="0"/>
          <w:sz w:val="32"/>
          <w:szCs w:val="30"/>
          <w:u w:val="none"/>
        </w:rPr>
        <w:t>十三、项目支出：指在基本支出之外为完成特定的行政工作任务或事业发展目标所发生的支出。</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0"/>
          <w:u w:val="none"/>
        </w:rPr>
      </w:pPr>
      <w:r>
        <w:rPr>
          <w:rFonts w:hint="eastAsia" w:ascii="仿宋_GB2312" w:hAnsi="黑体" w:eastAsia="仿宋_GB2312" w:cs="仿宋_GB2312"/>
          <w:color w:val="auto"/>
          <w:sz w:val="32"/>
          <w:szCs w:val="32"/>
          <w:u w:val="none"/>
        </w:rPr>
        <w:t>十</w:t>
      </w:r>
      <w:r>
        <w:rPr>
          <w:rFonts w:hint="eastAsia" w:ascii="仿宋_GB2312" w:hAnsi="宋体" w:eastAsia="仿宋_GB2312" w:cs="宋体"/>
          <w:color w:val="auto"/>
          <w:kern w:val="0"/>
          <w:sz w:val="32"/>
          <w:szCs w:val="30"/>
          <w:u w:val="none"/>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color w:val="auto"/>
          <w:kern w:val="0"/>
          <w:sz w:val="32"/>
          <w:szCs w:val="30"/>
          <w:u w:val="none"/>
        </w:rPr>
      </w:pPr>
      <w:r>
        <w:rPr>
          <w:rFonts w:hint="eastAsia" w:ascii="仿宋_GB2312" w:hAnsi="宋体" w:eastAsia="仿宋_GB2312" w:cs="宋体"/>
          <w:color w:val="auto"/>
          <w:kern w:val="0"/>
          <w:sz w:val="32"/>
          <w:szCs w:val="30"/>
          <w:u w:val="none"/>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color w:val="auto"/>
          <w:sz w:val="32"/>
          <w:szCs w:val="32"/>
          <w:u w:val="none"/>
        </w:rPr>
      </w:pPr>
    </w:p>
    <w:p>
      <w:pPr>
        <w:ind w:firstLine="640" w:firstLineChars="200"/>
        <w:jc w:val="left"/>
        <w:rPr>
          <w:rFonts w:ascii="仿宋_GB2312" w:hAnsi="黑体" w:eastAsia="仿宋_GB2312" w:cs="仿宋_GB2312"/>
          <w:color w:val="auto"/>
          <w:sz w:val="32"/>
          <w:szCs w:val="32"/>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3A0715"/>
    <w:multiLevelType w:val="singleLevel"/>
    <w:tmpl w:val="EF3A0715"/>
    <w:lvl w:ilvl="0" w:tentative="0">
      <w:start w:val="1"/>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1B44"/>
    <w:rsid w:val="00000983"/>
    <w:rsid w:val="00003088"/>
    <w:rsid w:val="000B6A1F"/>
    <w:rsid w:val="001326C1"/>
    <w:rsid w:val="00173B57"/>
    <w:rsid w:val="001A23E1"/>
    <w:rsid w:val="001A7472"/>
    <w:rsid w:val="001D62ED"/>
    <w:rsid w:val="002330B8"/>
    <w:rsid w:val="002530AD"/>
    <w:rsid w:val="00283E6E"/>
    <w:rsid w:val="00293316"/>
    <w:rsid w:val="002956BC"/>
    <w:rsid w:val="002A59FA"/>
    <w:rsid w:val="002E73B0"/>
    <w:rsid w:val="00343757"/>
    <w:rsid w:val="0034580F"/>
    <w:rsid w:val="00361BBA"/>
    <w:rsid w:val="003834C9"/>
    <w:rsid w:val="003847B6"/>
    <w:rsid w:val="004313AB"/>
    <w:rsid w:val="004522A5"/>
    <w:rsid w:val="00474F12"/>
    <w:rsid w:val="004902AB"/>
    <w:rsid w:val="004A1C49"/>
    <w:rsid w:val="00522287"/>
    <w:rsid w:val="00525863"/>
    <w:rsid w:val="00537B3F"/>
    <w:rsid w:val="0057063E"/>
    <w:rsid w:val="0059423F"/>
    <w:rsid w:val="005C2065"/>
    <w:rsid w:val="005C5355"/>
    <w:rsid w:val="00640059"/>
    <w:rsid w:val="0067644B"/>
    <w:rsid w:val="006871F7"/>
    <w:rsid w:val="006949A5"/>
    <w:rsid w:val="006B1FB3"/>
    <w:rsid w:val="006C277E"/>
    <w:rsid w:val="006D6C06"/>
    <w:rsid w:val="0070320F"/>
    <w:rsid w:val="0075151D"/>
    <w:rsid w:val="007523E7"/>
    <w:rsid w:val="00757328"/>
    <w:rsid w:val="00786240"/>
    <w:rsid w:val="00793A7F"/>
    <w:rsid w:val="007B3322"/>
    <w:rsid w:val="007E4EAF"/>
    <w:rsid w:val="007F7D84"/>
    <w:rsid w:val="009262C2"/>
    <w:rsid w:val="00926751"/>
    <w:rsid w:val="00947538"/>
    <w:rsid w:val="009616E6"/>
    <w:rsid w:val="009846A5"/>
    <w:rsid w:val="00995DA5"/>
    <w:rsid w:val="009F52FB"/>
    <w:rsid w:val="00A545A0"/>
    <w:rsid w:val="00AE2FF8"/>
    <w:rsid w:val="00AE38A2"/>
    <w:rsid w:val="00BE1257"/>
    <w:rsid w:val="00BF4CC6"/>
    <w:rsid w:val="00C61D8E"/>
    <w:rsid w:val="00C91D51"/>
    <w:rsid w:val="00C97DC9"/>
    <w:rsid w:val="00CA7DBE"/>
    <w:rsid w:val="00CD7757"/>
    <w:rsid w:val="00DC65EF"/>
    <w:rsid w:val="00DD3FD8"/>
    <w:rsid w:val="00E3389C"/>
    <w:rsid w:val="00E700C6"/>
    <w:rsid w:val="00E71AF9"/>
    <w:rsid w:val="00E73A4A"/>
    <w:rsid w:val="00EB1046"/>
    <w:rsid w:val="00ED50D0"/>
    <w:rsid w:val="00ED6580"/>
    <w:rsid w:val="00F442C4"/>
    <w:rsid w:val="00F91B44"/>
    <w:rsid w:val="00FB0A31"/>
    <w:rsid w:val="00FF3698"/>
    <w:rsid w:val="01F874F3"/>
    <w:rsid w:val="020505BA"/>
    <w:rsid w:val="02BC4644"/>
    <w:rsid w:val="03D2143D"/>
    <w:rsid w:val="04067BB6"/>
    <w:rsid w:val="043D6AA2"/>
    <w:rsid w:val="04E47A05"/>
    <w:rsid w:val="0596322D"/>
    <w:rsid w:val="06A27334"/>
    <w:rsid w:val="08377735"/>
    <w:rsid w:val="099263D4"/>
    <w:rsid w:val="0ADA51A6"/>
    <w:rsid w:val="0BAA2EE9"/>
    <w:rsid w:val="0CE86181"/>
    <w:rsid w:val="0DAB7997"/>
    <w:rsid w:val="0DFA64A9"/>
    <w:rsid w:val="0E111285"/>
    <w:rsid w:val="0E552B88"/>
    <w:rsid w:val="0EE77FFA"/>
    <w:rsid w:val="0F184724"/>
    <w:rsid w:val="10411D3B"/>
    <w:rsid w:val="1143464D"/>
    <w:rsid w:val="114B20A7"/>
    <w:rsid w:val="11EB4C72"/>
    <w:rsid w:val="13367F45"/>
    <w:rsid w:val="134A303C"/>
    <w:rsid w:val="13894F53"/>
    <w:rsid w:val="15154B60"/>
    <w:rsid w:val="1609654C"/>
    <w:rsid w:val="173F264B"/>
    <w:rsid w:val="18F95646"/>
    <w:rsid w:val="19A86D64"/>
    <w:rsid w:val="1A88042D"/>
    <w:rsid w:val="1ACB4B01"/>
    <w:rsid w:val="1B7809DD"/>
    <w:rsid w:val="1B841B4E"/>
    <w:rsid w:val="1CB3659F"/>
    <w:rsid w:val="1DA12B74"/>
    <w:rsid w:val="1DD04369"/>
    <w:rsid w:val="1DEB1D99"/>
    <w:rsid w:val="1DEC40C8"/>
    <w:rsid w:val="1E0A21AA"/>
    <w:rsid w:val="1ECE4C07"/>
    <w:rsid w:val="22D6575C"/>
    <w:rsid w:val="22F02CD3"/>
    <w:rsid w:val="233B2723"/>
    <w:rsid w:val="263958C0"/>
    <w:rsid w:val="27A372FF"/>
    <w:rsid w:val="27EA2753"/>
    <w:rsid w:val="28DB1DD8"/>
    <w:rsid w:val="29776E18"/>
    <w:rsid w:val="29A5790D"/>
    <w:rsid w:val="2AC90AF6"/>
    <w:rsid w:val="2AD77208"/>
    <w:rsid w:val="2B0A6597"/>
    <w:rsid w:val="2D1348F1"/>
    <w:rsid w:val="2DFE3F4A"/>
    <w:rsid w:val="2F236405"/>
    <w:rsid w:val="31E93769"/>
    <w:rsid w:val="31FF0D00"/>
    <w:rsid w:val="32D35EB1"/>
    <w:rsid w:val="33AB57A1"/>
    <w:rsid w:val="33EC2D5B"/>
    <w:rsid w:val="366443DE"/>
    <w:rsid w:val="36B75BD2"/>
    <w:rsid w:val="36C139A2"/>
    <w:rsid w:val="37046423"/>
    <w:rsid w:val="37757071"/>
    <w:rsid w:val="37A56C53"/>
    <w:rsid w:val="381A53C2"/>
    <w:rsid w:val="38707FA0"/>
    <w:rsid w:val="3950139C"/>
    <w:rsid w:val="3B506F7B"/>
    <w:rsid w:val="3BCC4CDF"/>
    <w:rsid w:val="3C0D2B3A"/>
    <w:rsid w:val="3D7620B8"/>
    <w:rsid w:val="3E675A17"/>
    <w:rsid w:val="3FEE2874"/>
    <w:rsid w:val="409059CD"/>
    <w:rsid w:val="411625D8"/>
    <w:rsid w:val="41AA55B5"/>
    <w:rsid w:val="469A4BFB"/>
    <w:rsid w:val="46E3445A"/>
    <w:rsid w:val="47526D75"/>
    <w:rsid w:val="47BA293B"/>
    <w:rsid w:val="47E97989"/>
    <w:rsid w:val="49162A9B"/>
    <w:rsid w:val="49E62DE6"/>
    <w:rsid w:val="4A2C69A8"/>
    <w:rsid w:val="4B0B2C13"/>
    <w:rsid w:val="4B0F1778"/>
    <w:rsid w:val="4C027192"/>
    <w:rsid w:val="4CC320EB"/>
    <w:rsid w:val="4E835EFA"/>
    <w:rsid w:val="4ECE0729"/>
    <w:rsid w:val="4ED97A3F"/>
    <w:rsid w:val="4EDE0BBE"/>
    <w:rsid w:val="4EF8743A"/>
    <w:rsid w:val="4F5D7372"/>
    <w:rsid w:val="4F612897"/>
    <w:rsid w:val="4F7716CA"/>
    <w:rsid w:val="4FE211F7"/>
    <w:rsid w:val="50A312A9"/>
    <w:rsid w:val="50F804C8"/>
    <w:rsid w:val="52312C6D"/>
    <w:rsid w:val="52874426"/>
    <w:rsid w:val="528C0968"/>
    <w:rsid w:val="54DC2073"/>
    <w:rsid w:val="54DE6C87"/>
    <w:rsid w:val="54E22372"/>
    <w:rsid w:val="55A01925"/>
    <w:rsid w:val="55B52019"/>
    <w:rsid w:val="56657C9D"/>
    <w:rsid w:val="56D6607F"/>
    <w:rsid w:val="57751103"/>
    <w:rsid w:val="57E5267E"/>
    <w:rsid w:val="58220A72"/>
    <w:rsid w:val="58FE1E93"/>
    <w:rsid w:val="5A436E9D"/>
    <w:rsid w:val="5C462A3A"/>
    <w:rsid w:val="5D307ACB"/>
    <w:rsid w:val="5E112D8A"/>
    <w:rsid w:val="5E9F0C1E"/>
    <w:rsid w:val="5EC23F86"/>
    <w:rsid w:val="5F884CB4"/>
    <w:rsid w:val="5FEB6AAD"/>
    <w:rsid w:val="60AF4B01"/>
    <w:rsid w:val="613D6881"/>
    <w:rsid w:val="62780670"/>
    <w:rsid w:val="63783BFA"/>
    <w:rsid w:val="657D1134"/>
    <w:rsid w:val="65B814AC"/>
    <w:rsid w:val="664C2D30"/>
    <w:rsid w:val="668B3D3A"/>
    <w:rsid w:val="66DE4321"/>
    <w:rsid w:val="690C7A51"/>
    <w:rsid w:val="695B46BB"/>
    <w:rsid w:val="69C15FDA"/>
    <w:rsid w:val="69D534BC"/>
    <w:rsid w:val="6A4A4E81"/>
    <w:rsid w:val="6CA2734E"/>
    <w:rsid w:val="6E2F065F"/>
    <w:rsid w:val="6ED81FEC"/>
    <w:rsid w:val="6F7A529C"/>
    <w:rsid w:val="6FE56ACC"/>
    <w:rsid w:val="705F2E48"/>
    <w:rsid w:val="724F1918"/>
    <w:rsid w:val="725378AC"/>
    <w:rsid w:val="72CD1D0A"/>
    <w:rsid w:val="733D6230"/>
    <w:rsid w:val="75473C89"/>
    <w:rsid w:val="759A6A3D"/>
    <w:rsid w:val="75C731C2"/>
    <w:rsid w:val="77331BD6"/>
    <w:rsid w:val="7A2976FE"/>
    <w:rsid w:val="7CC925B1"/>
    <w:rsid w:val="7CE04472"/>
    <w:rsid w:val="7D981F16"/>
    <w:rsid w:val="7DFE2E8D"/>
    <w:rsid w:val="7E921402"/>
    <w:rsid w:val="7EF30717"/>
    <w:rsid w:val="7F287D77"/>
    <w:rsid w:val="7FA00FA1"/>
    <w:rsid w:val="7FF9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semiHidden/>
    <w:unhideWhenUsed/>
    <w:qFormat/>
    <w:uiPriority w:val="99"/>
    <w:rPr>
      <w:color w:val="222222"/>
      <w:u w:val="none"/>
    </w:rPr>
  </w:style>
  <w:style w:type="character" w:styleId="8">
    <w:name w:val="Emphasis"/>
    <w:basedOn w:val="6"/>
    <w:qFormat/>
    <w:uiPriority w:val="20"/>
    <w:rPr>
      <w:color w:val="CCCCCC"/>
      <w:sz w:val="18"/>
      <w:szCs w:val="18"/>
    </w:rPr>
  </w:style>
  <w:style w:type="character" w:styleId="9">
    <w:name w:val="Hyperlink"/>
    <w:basedOn w:val="6"/>
    <w:semiHidden/>
    <w:unhideWhenUsed/>
    <w:qFormat/>
    <w:uiPriority w:val="99"/>
    <w:rPr>
      <w:color w:val="222222"/>
      <w:u w:val="none"/>
    </w:rPr>
  </w:style>
  <w:style w:type="character" w:styleId="10">
    <w:name w:val="HTML Code"/>
    <w:basedOn w:val="6"/>
    <w:semiHidden/>
    <w:unhideWhenUsed/>
    <w:qFormat/>
    <w:uiPriority w:val="99"/>
    <w:rPr>
      <w:rFonts w:ascii="Courier New" w:hAnsi="Courier New"/>
      <w:sz w:val="20"/>
    </w:rPr>
  </w:style>
  <w:style w:type="character" w:styleId="11">
    <w:name w:val="HTML Cite"/>
    <w:basedOn w:val="6"/>
    <w:semiHidden/>
    <w:unhideWhenUsed/>
    <w:qFormat/>
    <w:uiPriority w:val="99"/>
  </w:style>
  <w:style w:type="paragraph" w:styleId="12">
    <w:name w:val="List Paragraph"/>
    <w:basedOn w:val="1"/>
    <w:qFormat/>
    <w:uiPriority w:val="34"/>
    <w:pPr>
      <w:ind w:firstLine="420" w:firstLineChars="200"/>
    </w:pPr>
  </w:style>
  <w:style w:type="character" w:customStyle="1" w:styleId="13">
    <w:name w:val="页眉 Char"/>
    <w:basedOn w:val="6"/>
    <w:link w:val="3"/>
    <w:semiHidden/>
    <w:qFormat/>
    <w:uiPriority w:val="99"/>
    <w:rPr>
      <w:sz w:val="18"/>
      <w:szCs w:val="18"/>
    </w:rPr>
  </w:style>
  <w:style w:type="character" w:customStyle="1" w:styleId="14">
    <w:name w:val="页脚 Char"/>
    <w:basedOn w:val="6"/>
    <w:link w:val="2"/>
    <w:semiHidden/>
    <w:qFormat/>
    <w:uiPriority w:val="99"/>
    <w:rPr>
      <w:sz w:val="18"/>
      <w:szCs w:val="18"/>
    </w:rPr>
  </w:style>
  <w:style w:type="character" w:customStyle="1" w:styleId="15">
    <w:name w:val="satisfactiontext"/>
    <w:basedOn w:val="6"/>
    <w:qFormat/>
    <w:uiPriority w:val="0"/>
    <w:rPr>
      <w:sz w:val="24"/>
      <w:szCs w:val="24"/>
    </w:rPr>
  </w:style>
  <w:style w:type="character" w:customStyle="1" w:styleId="16">
    <w:name w:val="percentage"/>
    <w:basedOn w:val="6"/>
    <w:qFormat/>
    <w:uiPriority w:val="0"/>
    <w:rPr>
      <w:color w:val="6991F9"/>
      <w:sz w:val="27"/>
      <w:szCs w:val="27"/>
    </w:rPr>
  </w:style>
  <w:style w:type="character" w:customStyle="1" w:styleId="17">
    <w:name w:val="satisfactionbar"/>
    <w:basedOn w:val="6"/>
    <w:qFormat/>
    <w:uiPriority w:val="0"/>
    <w:rPr>
      <w:shd w:val="clear" w:fill="E3E3E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613</Words>
  <Characters>3496</Characters>
  <Lines>29</Lines>
  <Paragraphs>8</Paragraphs>
  <TotalTime>6</TotalTime>
  <ScaleCrop>false</ScaleCrop>
  <LinksUpToDate>false</LinksUpToDate>
  <CharactersWithSpaces>4101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2020-02-13T09:02:00Z</dcterms:created>
  <dc:creator>null,null,总收发</dc:creator>
  <cp:lastModifiedBy>对方正在。。。</cp:lastModifiedBy>
  <cp:lastPrinted>2020-04-29T01:14:00Z</cp:lastPrinted>
  <dcterms:modified xsi:type="dcterms:W3CDTF">2021-07-15T01:59:50Z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