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52"/>
          <w:szCs w:val="52"/>
        </w:rPr>
      </w:pPr>
    </w:p>
    <w:p>
      <w:pPr>
        <w:jc w:val="center"/>
        <w:rPr>
          <w:rFonts w:hint="default" w:ascii="Times New Roman" w:hAnsi="Times New Roman" w:cs="Times New Roman"/>
          <w:sz w:val="52"/>
          <w:szCs w:val="52"/>
        </w:rPr>
      </w:pPr>
    </w:p>
    <w:p>
      <w:pPr>
        <w:jc w:val="center"/>
        <w:rPr>
          <w:rFonts w:hint="default" w:ascii="Times New Roman" w:hAnsi="Times New Roman" w:cs="Times New Roman"/>
          <w:sz w:val="52"/>
          <w:szCs w:val="52"/>
        </w:rPr>
      </w:pPr>
    </w:p>
    <w:p>
      <w:pPr>
        <w:jc w:val="center"/>
        <w:rPr>
          <w:rFonts w:hint="default" w:ascii="Times New Roman" w:hAnsi="Times New Roman" w:cs="Times New Roman"/>
          <w:sz w:val="52"/>
          <w:szCs w:val="52"/>
        </w:rPr>
      </w:pPr>
    </w:p>
    <w:p>
      <w:pPr>
        <w:jc w:val="center"/>
        <w:rPr>
          <w:rFonts w:hint="default" w:ascii="Times New Roman" w:hAnsi="Times New Roman" w:cs="Times New Roman"/>
          <w:sz w:val="52"/>
          <w:szCs w:val="52"/>
        </w:rPr>
      </w:pPr>
    </w:p>
    <w:p>
      <w:pPr>
        <w:jc w:val="center"/>
        <w:rPr>
          <w:rFonts w:hint="default" w:ascii="Times New Roman" w:hAnsi="Times New Roman" w:cs="Times New Roman"/>
          <w:sz w:val="52"/>
          <w:szCs w:val="52"/>
        </w:rPr>
      </w:pPr>
    </w:p>
    <w:p>
      <w:pPr>
        <w:jc w:val="center"/>
        <w:rPr>
          <w:rFonts w:hint="default" w:ascii="Times New Roman" w:hAnsi="Times New Roman" w:cs="Times New Roman"/>
          <w:b/>
          <w:bCs/>
          <w:sz w:val="52"/>
          <w:szCs w:val="52"/>
        </w:rPr>
      </w:pPr>
      <w:r>
        <w:rPr>
          <w:rFonts w:hint="default" w:ascii="Times New Roman" w:hAnsi="Times New Roman" w:cs="Times New Roman"/>
          <w:b/>
          <w:bCs/>
          <w:sz w:val="52"/>
          <w:szCs w:val="52"/>
        </w:rPr>
        <w:t>2021年三亚市公安局部门预算</w:t>
      </w:r>
    </w:p>
    <w:p>
      <w:pPr>
        <w:ind w:firstLine="1680"/>
        <w:jc w:val="center"/>
        <w:rPr>
          <w:rFonts w:hint="default" w:ascii="Times New Roman" w:hAnsi="Times New Roman" w:cs="Times New Roman"/>
          <w:sz w:val="84"/>
          <w:szCs w:val="84"/>
        </w:rPr>
      </w:pPr>
    </w:p>
    <w:p>
      <w:pPr>
        <w:ind w:firstLine="1680"/>
        <w:jc w:val="center"/>
        <w:rPr>
          <w:rFonts w:hint="default" w:ascii="Times New Roman" w:hAnsi="Times New Roman" w:cs="Times New Roman"/>
          <w:sz w:val="84"/>
          <w:szCs w:val="84"/>
        </w:rPr>
      </w:pPr>
    </w:p>
    <w:p>
      <w:pPr>
        <w:ind w:firstLine="1680"/>
        <w:jc w:val="center"/>
        <w:rPr>
          <w:rFonts w:hint="default" w:ascii="Times New Roman" w:hAnsi="Times New Roman" w:cs="Times New Roman"/>
          <w:sz w:val="84"/>
          <w:szCs w:val="84"/>
        </w:rPr>
      </w:pPr>
    </w:p>
    <w:p>
      <w:pPr>
        <w:ind w:firstLine="1680"/>
        <w:jc w:val="center"/>
        <w:rPr>
          <w:rFonts w:hint="default" w:ascii="Times New Roman" w:hAnsi="Times New Roman" w:cs="Times New Roman"/>
          <w:sz w:val="84"/>
          <w:szCs w:val="84"/>
        </w:rPr>
      </w:pPr>
    </w:p>
    <w:p>
      <w:pPr>
        <w:ind w:firstLine="1680"/>
        <w:jc w:val="center"/>
        <w:rPr>
          <w:rFonts w:hint="default" w:ascii="Times New Roman" w:hAnsi="Times New Roman" w:cs="Times New Roman"/>
          <w:sz w:val="84"/>
          <w:szCs w:val="84"/>
        </w:rPr>
      </w:pPr>
    </w:p>
    <w:p>
      <w:pPr>
        <w:rPr>
          <w:rFonts w:hint="default" w:ascii="Times New Roman" w:hAnsi="Times New Roman" w:cs="Times New Roman"/>
          <w:sz w:val="84"/>
          <w:szCs w:val="84"/>
        </w:rPr>
      </w:pPr>
    </w:p>
    <w:p>
      <w:pPr>
        <w:rPr>
          <w:rFonts w:hint="default" w:ascii="Times New Roman" w:hAnsi="Times New Roman" w:cs="Times New Roman"/>
          <w:sz w:val="84"/>
          <w:szCs w:val="84"/>
        </w:rPr>
      </w:pPr>
      <w:bookmarkStart w:id="0" w:name="_GoBack"/>
      <w:bookmarkEnd w:id="0"/>
    </w:p>
    <w:p>
      <w:pPr>
        <w:jc w:val="center"/>
        <w:rPr>
          <w:rFonts w:hint="default" w:ascii="Times New Roman" w:hAnsi="Times New Roman" w:eastAsia="黑体" w:cs="Times New Roman"/>
          <w:sz w:val="52"/>
          <w:szCs w:val="52"/>
        </w:rPr>
      </w:pPr>
      <w:r>
        <w:rPr>
          <w:rFonts w:hint="default" w:ascii="Times New Roman" w:hAnsi="Times New Roman" w:eastAsia="黑体" w:cs="Times New Roman"/>
          <w:sz w:val="52"/>
          <w:szCs w:val="52"/>
        </w:rPr>
        <w:t>目录</w:t>
      </w:r>
    </w:p>
    <w:p>
      <w:pPr>
        <w:pStyle w:val="4"/>
        <w:numPr>
          <w:ilvl w:val="0"/>
          <w:numId w:val="1"/>
        </w:numPr>
        <w:ind w:firstLineChars="0"/>
        <w:jc w:val="left"/>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sz w:val="32"/>
          <w:szCs w:val="32"/>
        </w:rPr>
        <w:t>三亚市公安局概况</w:t>
      </w:r>
    </w:p>
    <w:p>
      <w:pPr>
        <w:pStyle w:val="4"/>
        <w:numPr>
          <w:ilvl w:val="0"/>
          <w:numId w:val="2"/>
        </w:numPr>
        <w:ind w:firstLineChars="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主要职能</w:t>
      </w:r>
    </w:p>
    <w:p>
      <w:pPr>
        <w:pStyle w:val="4"/>
        <w:numPr>
          <w:ilvl w:val="0"/>
          <w:numId w:val="2"/>
        </w:numPr>
        <w:ind w:firstLineChars="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部门预算单位构成</w:t>
      </w:r>
    </w:p>
    <w:p>
      <w:pPr>
        <w:pStyle w:val="4"/>
        <w:numPr>
          <w:ilvl w:val="0"/>
          <w:numId w:val="1"/>
        </w:numPr>
        <w:ind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三亚市公安局2021年部门预算表</w:t>
      </w:r>
    </w:p>
    <w:p>
      <w:pPr>
        <w:pStyle w:val="4"/>
        <w:numPr>
          <w:ilvl w:val="0"/>
          <w:numId w:val="3"/>
        </w:numPr>
        <w:ind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财政拨款收支总表</w:t>
      </w:r>
    </w:p>
    <w:p>
      <w:pPr>
        <w:pStyle w:val="4"/>
        <w:numPr>
          <w:ilvl w:val="0"/>
          <w:numId w:val="3"/>
        </w:numPr>
        <w:ind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一般公共预算支出表</w:t>
      </w:r>
    </w:p>
    <w:p>
      <w:pPr>
        <w:pStyle w:val="4"/>
        <w:numPr>
          <w:ilvl w:val="0"/>
          <w:numId w:val="3"/>
        </w:numPr>
        <w:ind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一般公共预算基本支出表</w:t>
      </w:r>
    </w:p>
    <w:p>
      <w:pPr>
        <w:pStyle w:val="4"/>
        <w:numPr>
          <w:ilvl w:val="0"/>
          <w:numId w:val="3"/>
        </w:numPr>
        <w:ind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一般公共预算“三公”经费支出表</w:t>
      </w:r>
    </w:p>
    <w:p>
      <w:pPr>
        <w:pStyle w:val="4"/>
        <w:numPr>
          <w:ilvl w:val="0"/>
          <w:numId w:val="3"/>
        </w:numPr>
        <w:ind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政府性基金预算支出表。</w:t>
      </w:r>
    </w:p>
    <w:p>
      <w:pPr>
        <w:pStyle w:val="4"/>
        <w:numPr>
          <w:ilvl w:val="0"/>
          <w:numId w:val="3"/>
        </w:numPr>
        <w:ind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政府性基金预算“三公”经费支出表</w:t>
      </w:r>
    </w:p>
    <w:p>
      <w:pPr>
        <w:pStyle w:val="4"/>
        <w:numPr>
          <w:ilvl w:val="0"/>
          <w:numId w:val="3"/>
        </w:numPr>
        <w:ind w:firstLineChars="0"/>
        <w:jc w:val="left"/>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部门收支总表</w:t>
      </w:r>
    </w:p>
    <w:p>
      <w:pPr>
        <w:pStyle w:val="4"/>
        <w:numPr>
          <w:ilvl w:val="0"/>
          <w:numId w:val="3"/>
        </w:numPr>
        <w:ind w:firstLineChars="0"/>
        <w:jc w:val="left"/>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部门收入总表</w:t>
      </w:r>
    </w:p>
    <w:p>
      <w:pPr>
        <w:pStyle w:val="4"/>
        <w:numPr>
          <w:ilvl w:val="0"/>
          <w:numId w:val="3"/>
        </w:numPr>
        <w:ind w:firstLineChars="0"/>
        <w:jc w:val="left"/>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部门支出总表</w:t>
      </w:r>
    </w:p>
    <w:p>
      <w:pPr>
        <w:pStyle w:val="4"/>
        <w:numPr>
          <w:ilvl w:val="0"/>
          <w:numId w:val="3"/>
        </w:numPr>
        <w:ind w:firstLineChars="0"/>
        <w:jc w:val="left"/>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项目支出绩效信息表</w:t>
      </w:r>
    </w:p>
    <w:p>
      <w:pPr>
        <w:pStyle w:val="4"/>
        <w:numPr>
          <w:ilvl w:val="0"/>
          <w:numId w:val="1"/>
        </w:numPr>
        <w:ind w:firstLineChars="0"/>
        <w:jc w:val="left"/>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 三亚市公安局2021年部门预算情况说明</w:t>
      </w:r>
    </w:p>
    <w:p>
      <w:pPr>
        <w:pStyle w:val="4"/>
        <w:numPr>
          <w:ilvl w:val="0"/>
          <w:numId w:val="1"/>
        </w:numPr>
        <w:ind w:firstLineChars="0"/>
        <w:jc w:val="left"/>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 名词解释</w:t>
      </w:r>
    </w:p>
    <w:p>
      <w:pPr>
        <w:pStyle w:val="4"/>
        <w:ind w:left="1320" w:firstLine="0" w:firstLineChars="0"/>
        <w:jc w:val="left"/>
        <w:rPr>
          <w:rFonts w:hint="default" w:ascii="Times New Roman" w:hAnsi="Times New Roman" w:eastAsia="黑体" w:cs="Times New Roman"/>
          <w:sz w:val="32"/>
          <w:szCs w:val="32"/>
        </w:rPr>
      </w:pPr>
    </w:p>
    <w:p>
      <w:pPr>
        <w:jc w:val="left"/>
        <w:rPr>
          <w:rFonts w:hint="default" w:ascii="Times New Roman" w:hAnsi="Times New Roman" w:eastAsia="黑体" w:cs="Times New Roman"/>
          <w:sz w:val="32"/>
          <w:szCs w:val="32"/>
        </w:rPr>
      </w:pPr>
    </w:p>
    <w:p>
      <w:pPr>
        <w:jc w:val="left"/>
        <w:rPr>
          <w:rFonts w:hint="default" w:ascii="Times New Roman" w:hAnsi="Times New Roman" w:eastAsia="黑体" w:cs="Times New Roman"/>
          <w:sz w:val="32"/>
          <w:szCs w:val="32"/>
        </w:rPr>
      </w:pPr>
    </w:p>
    <w:p>
      <w:pPr>
        <w:jc w:val="left"/>
        <w:rPr>
          <w:rFonts w:hint="default" w:ascii="Times New Roman" w:hAnsi="Times New Roman" w:eastAsia="黑体" w:cs="Times New Roman"/>
          <w:sz w:val="32"/>
          <w:szCs w:val="32"/>
        </w:rPr>
      </w:pPr>
    </w:p>
    <w:p>
      <w:pPr>
        <w:jc w:val="left"/>
        <w:rPr>
          <w:rFonts w:hint="default" w:ascii="Times New Roman" w:hAnsi="Times New Roman" w:eastAsia="黑体" w:cs="Times New Roman"/>
          <w:sz w:val="32"/>
          <w:szCs w:val="32"/>
        </w:rPr>
      </w:pPr>
    </w:p>
    <w:p>
      <w:pPr>
        <w:pStyle w:val="4"/>
        <w:numPr>
          <w:ilvl w:val="0"/>
          <w:numId w:val="4"/>
        </w:numPr>
        <w:ind w:firstLineChars="0"/>
        <w:jc w:val="center"/>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 三亚市公安局概况</w:t>
      </w:r>
    </w:p>
    <w:p>
      <w:pPr>
        <w:pStyle w:val="4"/>
        <w:numPr>
          <w:ilvl w:val="0"/>
          <w:numId w:val="5"/>
        </w:numPr>
        <w:ind w:firstLineChars="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主要职能</w:t>
      </w:r>
    </w:p>
    <w:p>
      <w:pPr>
        <w:pStyle w:val="5"/>
        <w:ind w:firstLine="64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（一）预防、制止和侦查违法犯罪活动；防范、打击恐怖活动</w:t>
      </w:r>
    </w:p>
    <w:p>
      <w:pPr>
        <w:pStyle w:val="5"/>
        <w:ind w:firstLine="64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（二）维护社会治安秩序，制止危害社会治安秩序的行为；</w:t>
      </w:r>
    </w:p>
    <w:p>
      <w:pPr>
        <w:pStyle w:val="5"/>
        <w:ind w:firstLine="64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（三）管理交通、消防、危险物品；管理户口、居民身份证、出入境事务和外国人在中国境内居留、旅行的有关事务；</w:t>
      </w:r>
    </w:p>
    <w:p>
      <w:pPr>
        <w:pStyle w:val="5"/>
        <w:ind w:firstLine="64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（四）维护国（边）境地区的治安秩序、警卫国家规定的特定人员、守卫重要场所和设施；</w:t>
      </w:r>
    </w:p>
    <w:p>
      <w:pPr>
        <w:pStyle w:val="5"/>
        <w:ind w:firstLine="64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（五）管理集会、游行和示威活动；</w:t>
      </w:r>
    </w:p>
    <w:p>
      <w:pPr>
        <w:pStyle w:val="5"/>
        <w:ind w:firstLine="64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（六）监督管理公共信息网络的安全监察工作；</w:t>
      </w:r>
    </w:p>
    <w:p>
      <w:pPr>
        <w:pStyle w:val="5"/>
        <w:ind w:firstLine="64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指导和监督国家机关、社会团体、企事业组织和重点建设工程的治安保卫工作，指导治安保卫委员会等群众性治安保卫组织的治安防范工作。3、管理交通、消防、危险物品；管理户口、居民身份证、出入境事务和外国人在中国境内居留、旅行的有关事务；</w:t>
      </w:r>
    </w:p>
    <w:p>
      <w:pPr>
        <w:pStyle w:val="5"/>
        <w:ind w:firstLine="64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（八）维护国（边）境地区的治安秩序、警卫国家规定的特定人员、守卫重要场所和设施；</w:t>
      </w:r>
    </w:p>
    <w:p>
      <w:pPr>
        <w:pStyle w:val="5"/>
        <w:ind w:firstLine="64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（九）管理集会、游行和示威活动；</w:t>
      </w:r>
    </w:p>
    <w:p>
      <w:pPr>
        <w:pStyle w:val="5"/>
        <w:ind w:firstLine="64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（十）监督管理公共信息网络的安全监察工作；</w:t>
      </w:r>
    </w:p>
    <w:p>
      <w:pPr>
        <w:pStyle w:val="5"/>
        <w:ind w:firstLine="64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（十一）指导和监督国家机关、社会团体、企事业组织和重点建设工程的治安保卫工作，指导治安保卫委员会等群众性治安保卫组织的治安防范工作。</w:t>
      </w:r>
    </w:p>
    <w:p>
      <w:pPr>
        <w:pStyle w:val="4"/>
        <w:numPr>
          <w:ilvl w:val="0"/>
          <w:numId w:val="5"/>
        </w:numPr>
        <w:ind w:firstLineChars="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部门预算单位构成</w:t>
      </w:r>
    </w:p>
    <w:p>
      <w:pPr>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纳入三亚市公安局2021年部门预算编制范围的二级预算单位包括：</w:t>
      </w:r>
    </w:p>
    <w:p>
      <w:pPr>
        <w:pStyle w:val="4"/>
        <w:numPr>
          <w:ilvl w:val="1"/>
          <w:numId w:val="5"/>
        </w:numPr>
        <w:ind w:left="0"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三亚市公安局吉阳分局</w:t>
      </w:r>
    </w:p>
    <w:p>
      <w:pPr>
        <w:pStyle w:val="4"/>
        <w:numPr>
          <w:ilvl w:val="1"/>
          <w:numId w:val="5"/>
        </w:numPr>
        <w:ind w:left="0"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三亚市公安局天涯分局</w:t>
      </w:r>
    </w:p>
    <w:p>
      <w:pPr>
        <w:pStyle w:val="6"/>
        <w:numPr>
          <w:ilvl w:val="1"/>
          <w:numId w:val="5"/>
        </w:numPr>
        <w:ind w:left="0"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三亚市公安局崖州分局</w:t>
      </w:r>
    </w:p>
    <w:p>
      <w:pPr>
        <w:pStyle w:val="6"/>
        <w:numPr>
          <w:ilvl w:val="1"/>
          <w:numId w:val="5"/>
        </w:numPr>
        <w:ind w:left="0"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三亚市公安局海棠分局</w:t>
      </w:r>
    </w:p>
    <w:p>
      <w:pPr>
        <w:pStyle w:val="6"/>
        <w:numPr>
          <w:ilvl w:val="1"/>
          <w:numId w:val="5"/>
        </w:numPr>
        <w:ind w:left="0"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三亚市公安局凤凰机场分局</w:t>
      </w:r>
    </w:p>
    <w:p>
      <w:pPr>
        <w:pStyle w:val="6"/>
        <w:numPr>
          <w:ilvl w:val="1"/>
          <w:numId w:val="5"/>
        </w:numPr>
        <w:ind w:left="0"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三亚市森林公安局</w:t>
      </w:r>
    </w:p>
    <w:p>
      <w:pPr>
        <w:pStyle w:val="6"/>
        <w:numPr>
          <w:ilvl w:val="1"/>
          <w:numId w:val="5"/>
        </w:numPr>
        <w:ind w:left="0"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三亚市公安局交通警察支队</w:t>
      </w:r>
    </w:p>
    <w:p>
      <w:pPr>
        <w:pStyle w:val="6"/>
        <w:numPr>
          <w:ilvl w:val="1"/>
          <w:numId w:val="5"/>
        </w:numPr>
        <w:ind w:left="0"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三亚市公安局特警（防暴）支队</w:t>
      </w:r>
    </w:p>
    <w:p>
      <w:pPr>
        <w:pStyle w:val="6"/>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（九）海南省三亚市第一看守所</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（十）三亚市第二看守所</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（十一）三亚市强制隔离戒毒所</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（十二）三亚市拘留所</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第二部分 </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sz w:val="32"/>
          <w:szCs w:val="32"/>
        </w:rPr>
        <w:t>三亚市公安局2021年</w:t>
      </w:r>
      <w:r>
        <w:rPr>
          <w:rFonts w:hint="default" w:ascii="Times New Roman" w:hAnsi="Times New Roman" w:eastAsia="黑体" w:cs="Times New Roman"/>
          <w:sz w:val="32"/>
          <w:szCs w:val="32"/>
          <w:lang w:eastAsia="zh-CN"/>
        </w:rPr>
        <w:t>部门</w:t>
      </w:r>
      <w:r>
        <w:rPr>
          <w:rFonts w:hint="default" w:ascii="Times New Roman" w:hAnsi="Times New Roman" w:eastAsia="黑体" w:cs="Times New Roman"/>
          <w:sz w:val="32"/>
          <w:szCs w:val="32"/>
        </w:rPr>
        <w:t>预算表</w:t>
      </w:r>
    </w:p>
    <w:p>
      <w:pPr>
        <w:ind w:left="800"/>
        <w:jc w:val="left"/>
        <w:rPr>
          <w:rFonts w:hint="default" w:ascii="Times New Roman" w:hAnsi="Times New Roman" w:eastAsia="黑体" w:cs="Times New Roman"/>
          <w:sz w:val="32"/>
          <w:szCs w:val="32"/>
        </w:rPr>
      </w:pPr>
    </w:p>
    <w:p>
      <w:pPr>
        <w:ind w:left="800"/>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（此部分内容即为部门预算公开表）</w:t>
      </w:r>
    </w:p>
    <w:p>
      <w:pPr>
        <w:rPr>
          <w:rFonts w:hint="default" w:ascii="Times New Roman" w:hAnsi="Times New Roman" w:eastAsia="黑体" w:cs="Times New Roman"/>
          <w:sz w:val="32"/>
          <w:szCs w:val="32"/>
        </w:rPr>
      </w:pPr>
    </w:p>
    <w:p>
      <w:pPr>
        <w:ind w:firstLine="480" w:firstLineChars="15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第三部分   三亚市公安局2021年部门预算情况说明</w:t>
      </w:r>
    </w:p>
    <w:p>
      <w:pPr>
        <w:jc w:val="center"/>
        <w:rPr>
          <w:rFonts w:hint="default" w:ascii="Times New Roman" w:hAnsi="Times New Roman" w:eastAsia="黑体" w:cs="Times New Roman"/>
          <w:sz w:val="32"/>
          <w:szCs w:val="32"/>
        </w:rPr>
      </w:pPr>
    </w:p>
    <w:p>
      <w:pPr>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一、关于三亚市公安局2021年财政拨款收支预算情况的总体说明</w:t>
      </w:r>
    </w:p>
    <w:p>
      <w:pPr>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亚市公安局2021年财政拨款收支总预算76712.93万元。其中，收入总计76712.93万元，包括一般公共预算本年收入76712.93万元、上年结转0万元，政府性基金预算本年收入0万元、上年结转0万元；支出总计76712.93万元，包括一般公共服务支出39.4万元、公共安全支出69200.46万元、社会保障和就业支出2176.54万元、卫生健康支出3507.53万元、住房保障支出1789万元、结转下年0万元。</w:t>
      </w:r>
    </w:p>
    <w:p>
      <w:pPr>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二、关于三亚市公安局2021年一般公共预算当年拨款情况说明</w:t>
      </w:r>
    </w:p>
    <w:p>
      <w:pPr>
        <w:ind w:firstLine="200"/>
        <w:jc w:val="left"/>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（一）一般公共预算当年规模变化情况</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三亚市公安局2021年一般公共预算当年拨款76712.93万元，比上年预算数增加16003.33万元，主要是公共安全相关预算投入增加。</w:t>
      </w:r>
    </w:p>
    <w:p>
      <w:pPr>
        <w:ind w:firstLine="200"/>
        <w:jc w:val="left"/>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（二）一般公共预算当年拨款结构情况</w:t>
      </w:r>
    </w:p>
    <w:p>
      <w:pPr>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一般公共服务（类）支出39.4万元，占0.05%；公共安全支出69200.46万元，占90.21%；社会保障和就业支出2176.54万元，占2.83%；卫生健康支出3507.53万元，占4.57%；住房保障支出1789万元，占2.33%。</w:t>
      </w:r>
    </w:p>
    <w:p>
      <w:pPr>
        <w:ind w:firstLine="200"/>
        <w:jc w:val="left"/>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（三）一般公共预算当年拨款具体使用情况</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1.一般公共服务（类）人大事务（款）一般行政管理事务（项）2021年预算数为39.4万元，比上年预算数增加39.4万元，主要是预算科目统计口径有所改变。</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2.公共安全支出（类）公安（款）行政运行（项）2021年预算数为26810.55万元，比上年预算数增加4714.08万元，主要是基层运行成本增加。</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公共安全支出（类）公安（款）一般行政管理事务（项）2021年预算数为13273.65万元，比上年预算数减少216.08万元，主要是本年度计划积极控制行政运行经费开支。</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 公共安全支出（类）公安（款）信息化建设（项）2021年预算数为3060万元，比上年预算数减少21万元，主要是我局增加部分信息化开支。</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5. 公共安全支出（类）公安（款）执法办案（项）2021年预算数为11280.3万元，比上年预算数增加5082.33万元，主要是目前办案开支有所增加。 </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 公共安全支出（类）公安（款）其他公安支出2021年预算数为13634.46万元，比上年预算数增加7396.96万元，主要是我局公安业务支出增加。</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7. 公共安全支出（类）强制隔离戒毒（款）一般行政管理事务（项）2021年预算数为254万元，比上年预算数减少9.47万元，主要是预算科目有所调整。 </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8. 公共安全支出（类）强制隔离戒毒（款）强制隔离戒毒人员生活（项）2021年预算数为574万元，比上年预算数减少81万元，主要是我局相关单位的戒毒人员生活经费有所减少。 </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 公共安全支出（类）强制隔离戒毒（款）所政设施建设（项）2021年预算数为304万元，比上年预算数减少29.99万元，主要是我局相关单位的计划投入的设施建设经费有所减少。</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 公共安全支出（类）强制隔离戒毒（款）信息化建设（项）2021年预算数为9.5万元，与上年预算数基本持平。</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11. 社会保障和就业支出（类）行政事业单位养老支出（款）行政单位离退休（项）2021年预算数为14.14万元，比上年预算数减少15.86万元，主要是我局离退休费用预算整体减少。 </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12. 社会保障和就业支出（类）行政事业单位养老支出（款）机关事业单位基本养老保险缴费支出（项）2021年预算数为2135.29万元，比上年预算数减少16.33万元，主要是我局本年度预算制定比较精准。 </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13. 社会保障和就业支出（类）抚恤（款）其他优抚支出（项）2021年预算数为27.11万元，比上年预算数减少28.89万元，主要是今年该项支出计划有所减少。</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14. 卫生健康支出（类）行政事业单位医疗（款）行政单位医疗（项）2021年预算数为1134.37万元，比上年预算数减少8.68万元，主要是本年度预算制定比较精准。 </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15. 卫生健康支出（类）行政事业单位医疗（款）公务员医疗补助（项）2021年预算数为2373.15万元，比上年预算数增加261.57万元，主要是本年度预算制定比较精准。</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16. 住房保障支出（类）住房改革支出（款）住房公积金（项）2021年预算数为1789万元，比上年预算数78.9万元，主要是本年度预算制定比较精准。</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三、关于三亚市公安局2021年一般公共预算基本支出情况说明</w:t>
      </w:r>
    </w:p>
    <w:p>
      <w:pPr>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三亚市公安局2021年一般公共预算基本支出34283.62万元，其中：</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员经费31789.56万元，主要包括：基本工资、津贴补贴、奖金、绩效工资、机关事业单位基本养老保险、城镇职工基本医疗保险、公务员医疗补助缴费、其他社会保障缴费、住房公积金、其他工资福利支出、邮电费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公用经费2494.06万元，主要包括：办公费、培训费。</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四、三亚市公安局2021年“三公”经费预算情况说明</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（一）三亚市公安局2021年一般公共预算“三公”经费预算数为571.89万元，其中：</w:t>
      </w:r>
    </w:p>
    <w:p>
      <w:pPr>
        <w:ind w:firstLine="200"/>
        <w:rPr>
          <w:rFonts w:hint="default" w:ascii="Times New Roman" w:hAnsi="Times New Roman" w:eastAsia="仿宋_GB2312" w:cs="Times New Roman"/>
          <w:sz w:val="32"/>
          <w:shd w:val="clear" w:color="auto" w:fill="FFFFFF"/>
        </w:rPr>
      </w:pPr>
      <w:r>
        <w:rPr>
          <w:rFonts w:hint="default" w:ascii="Times New Roman" w:hAnsi="Times New Roman" w:eastAsia="仿宋_GB2312" w:cs="Times New Roman"/>
          <w:sz w:val="32"/>
          <w:shd w:val="clear" w:color="auto" w:fill="FFFFFF"/>
        </w:rPr>
        <w:t>因公出国（境）经费</w:t>
      </w:r>
      <w:r>
        <w:rPr>
          <w:rFonts w:hint="default" w:ascii="Times New Roman" w:hAnsi="Times New Roman" w:eastAsia="仿宋_GB2312" w:cs="Times New Roman"/>
          <w:sz w:val="32"/>
          <w:szCs w:val="32"/>
        </w:rPr>
        <w:t>20万元</w:t>
      </w:r>
      <w:r>
        <w:rPr>
          <w:rFonts w:hint="default" w:ascii="Times New Roman" w:hAnsi="Times New Roman" w:eastAsia="仿宋_GB2312" w:cs="Times New Roman"/>
          <w:sz w:val="32"/>
          <w:shd w:val="clear" w:color="auto" w:fill="FFFFFF"/>
        </w:rPr>
        <w:t>，与上年预算持平。因我局大量出国事项为出国办案需要，具有较强的临时性和突发性，年初无法先行审批；公务用车购置及运行费</w:t>
      </w:r>
      <w:r>
        <w:rPr>
          <w:rFonts w:hint="default" w:ascii="Times New Roman" w:hAnsi="Times New Roman" w:eastAsia="仿宋_GB2312" w:cs="Times New Roman"/>
          <w:sz w:val="32"/>
          <w:szCs w:val="32"/>
        </w:rPr>
        <w:t>532.49万元（其中，</w:t>
      </w:r>
      <w:r>
        <w:rPr>
          <w:rFonts w:hint="default" w:ascii="Times New Roman" w:hAnsi="Times New Roman" w:eastAsia="仿宋_GB2312" w:cs="Times New Roman"/>
          <w:sz w:val="32"/>
          <w:shd w:val="clear" w:color="auto" w:fill="FFFFFF"/>
        </w:rPr>
        <w:t>公务用车购置费</w:t>
      </w:r>
      <w:r>
        <w:rPr>
          <w:rFonts w:hint="default" w:ascii="Times New Roman" w:hAnsi="Times New Roman" w:eastAsia="仿宋_GB2312" w:cs="Times New Roman"/>
          <w:sz w:val="32"/>
          <w:szCs w:val="32"/>
        </w:rPr>
        <w:t>0万元</w:t>
      </w:r>
      <w:r>
        <w:rPr>
          <w:rFonts w:hint="default" w:ascii="Times New Roman" w:hAnsi="Times New Roman" w:eastAsia="仿宋_GB2312" w:cs="Times New Roman"/>
          <w:sz w:val="32"/>
          <w:shd w:val="clear" w:color="auto" w:fill="FFFFFF"/>
        </w:rPr>
        <w:t>，公务用车运行费</w:t>
      </w:r>
      <w:r>
        <w:rPr>
          <w:rFonts w:hint="default" w:ascii="Times New Roman" w:hAnsi="Times New Roman" w:eastAsia="仿宋_GB2312" w:cs="Times New Roman"/>
          <w:sz w:val="32"/>
          <w:szCs w:val="32"/>
        </w:rPr>
        <w:t>532.49万元）</w:t>
      </w:r>
      <w:r>
        <w:rPr>
          <w:rFonts w:hint="default" w:ascii="Times New Roman" w:hAnsi="Times New Roman" w:eastAsia="仿宋_GB2312" w:cs="Times New Roman"/>
          <w:sz w:val="32"/>
          <w:shd w:val="clear" w:color="auto" w:fill="FFFFFF"/>
        </w:rPr>
        <w:t>，与上年预算增加</w:t>
      </w:r>
      <w:r>
        <w:rPr>
          <w:rFonts w:hint="default" w:ascii="Times New Roman" w:hAnsi="Times New Roman" w:eastAsia="仿宋_GB2312" w:cs="Times New Roman"/>
          <w:sz w:val="32"/>
          <w:szCs w:val="32"/>
        </w:rPr>
        <w:t>6.80</w:t>
      </w:r>
      <w:r>
        <w:rPr>
          <w:rFonts w:hint="default" w:ascii="Times New Roman" w:hAnsi="Times New Roman" w:eastAsia="仿宋_GB2312" w:cs="Times New Roman"/>
          <w:sz w:val="32"/>
          <w:shd w:val="clear" w:color="auto" w:fill="FFFFFF"/>
        </w:rPr>
        <w:t>%。</w:t>
      </w:r>
      <w:r>
        <w:rPr>
          <w:rFonts w:hint="default" w:ascii="Times New Roman" w:hAnsi="Times New Roman" w:eastAsia="仿宋_GB2312" w:cs="Times New Roman"/>
          <w:sz w:val="32"/>
        </w:rPr>
        <w:t>增长的</w:t>
      </w:r>
      <w:r>
        <w:rPr>
          <w:rFonts w:hint="default" w:ascii="Times New Roman" w:hAnsi="Times New Roman" w:eastAsia="仿宋_GB2312" w:cs="Times New Roman"/>
          <w:sz w:val="32"/>
          <w:shd w:val="clear" w:color="auto" w:fill="FFFFFF"/>
        </w:rPr>
        <w:t>主要原因包括：我局大量公务车使用年限过长，车况严重老化，运行成本增加。公务车保有量</w:t>
      </w:r>
      <w:r>
        <w:rPr>
          <w:rFonts w:hint="default" w:ascii="Times New Roman" w:hAnsi="Times New Roman" w:eastAsia="仿宋_GB2312" w:cs="Times New Roman"/>
          <w:sz w:val="32"/>
          <w:szCs w:val="32"/>
        </w:rPr>
        <w:t>189辆，计划购置0辆</w:t>
      </w:r>
      <w:r>
        <w:rPr>
          <w:rFonts w:hint="default" w:ascii="Times New Roman" w:hAnsi="Times New Roman" w:eastAsia="仿宋_GB2312" w:cs="Times New Roman"/>
          <w:sz w:val="32"/>
          <w:shd w:val="clear" w:color="auto" w:fill="FFFFFF"/>
        </w:rPr>
        <w:t>；</w:t>
      </w:r>
      <w:r>
        <w:rPr>
          <w:rFonts w:hint="default" w:ascii="Times New Roman" w:hAnsi="Times New Roman" w:eastAsia="仿宋_GB2312" w:cs="Times New Roman"/>
          <w:sz w:val="32"/>
          <w:szCs w:val="32"/>
        </w:rPr>
        <w:t>公务接待费19.4</w:t>
      </w:r>
      <w:r>
        <w:rPr>
          <w:rFonts w:hint="default" w:ascii="Times New Roman" w:hAnsi="Times New Roman" w:eastAsia="仿宋_GB2312" w:cs="Times New Roman"/>
          <w:sz w:val="32"/>
          <w:shd w:val="clear" w:color="auto" w:fill="FFFFFF"/>
        </w:rPr>
        <w:t>万元，与上年预算持平。</w:t>
      </w:r>
    </w:p>
    <w:p>
      <w:pPr>
        <w:ind w:firstLine="640" w:firstLineChars="200"/>
        <w:rPr>
          <w:rFonts w:hint="default" w:ascii="Times New Roman" w:hAnsi="Times New Roman" w:eastAsia="仿宋_GB2312" w:cs="Times New Roman"/>
          <w:sz w:val="32"/>
          <w:shd w:val="clear" w:color="auto" w:fill="FFFFFF"/>
        </w:rPr>
      </w:pPr>
      <w:r>
        <w:rPr>
          <w:rFonts w:hint="default" w:ascii="Times New Roman" w:hAnsi="Times New Roman" w:eastAsia="仿宋_GB2312" w:cs="Times New Roman"/>
          <w:sz w:val="32"/>
          <w:szCs w:val="32"/>
        </w:rPr>
        <w:t>（二）三亚市公安局2021年政府性基金预算“三公”经费预算数为0万元</w:t>
      </w:r>
      <w:r>
        <w:rPr>
          <w:rFonts w:hint="default" w:ascii="Times New Roman" w:hAnsi="Times New Roman" w:eastAsia="仿宋_GB2312" w:cs="Times New Roman"/>
          <w:sz w:val="32"/>
          <w:szCs w:val="32"/>
          <w:lang w:eastAsia="zh-CN"/>
        </w:rPr>
        <w:t>，与上年预算持平</w:t>
      </w:r>
      <w:r>
        <w:rPr>
          <w:rFonts w:hint="default" w:ascii="Times New Roman" w:hAnsi="Times New Roman" w:eastAsia="仿宋_GB2312" w:cs="Times New Roman"/>
          <w:sz w:val="32"/>
          <w:szCs w:val="32"/>
        </w:rPr>
        <w:t>。</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五、关于三亚市公安局2021年政府性基金预算当年拨款情况说明</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三亚市公安局2021年政府性基金预算当年拨款0万元，比上年预算数持平。</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六、关于三亚市公安局2021年收支预算情况的总体说明</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综合预算原则，三亚市公安局所有收入和支出均纳入部门预算管理。收入包括：一般公共预算收入、其他收入、上年结转；支出包括：一般公共服务支出、公共安全支出、社会保障和就业支出、卫生健康支出、自然资源和海洋气象、住房保障支出等。三亚市公安局2021年收支总预算104288.61万元。</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七、关于三亚市公安局2021年收入预算情况说明</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亚市公安局2021年收入预算104288.61万元，其中：上年结转9886.99万元，占9.48%；经费拨款收入76712.93万元，占73.56%；其他收入17688.69万元，占16.96%。比上年预算数增加43579.01万元，主要是本年度实行全面预算管理，预算收入统计口径增加。</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八、关于三亚市公安局2021年支出预算情况说明</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三亚市公安局2021年支出预算104288.61万元，其中：基本支出34283.62万元，占32.87%；项目支出70004.99万元，占67.13%。比上年预算数增加43579.01万元，主要是本年度实行全面预算管理，预算支出统计口径增加。</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九、其他重要事项的情况说明</w:t>
      </w:r>
    </w:p>
    <w:p>
      <w:pPr>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（一）机关运行经费</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三亚市公安局市局本级、三亚市公安局机场公安分局、三亚市公安局吉阳公安分局、三亚市公安局天涯公安分局、三亚市公安局崖州公安分局、三亚市公安局海棠公安分局、三亚市公安局第一看守所、三亚市公安局第二看守所、三亚市公安局行政拘留所、三亚市公安局强制隔离戒毒所、三亚市公安局交通警察支队、三亚市公安局特警防暴支队等的机关运行经费预算26810.55万元。</w:t>
      </w:r>
    </w:p>
    <w:p>
      <w:pPr>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（二）政府采购情况</w:t>
      </w:r>
    </w:p>
    <w:p>
      <w:pPr>
        <w:ind w:firstLine="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2021年三亚市公安局政府采购预算总额5656.16万元，其中：政府采购货物预算5656.16万元。</w:t>
      </w:r>
    </w:p>
    <w:p>
      <w:pPr>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（三）国有资产占有使用情况</w:t>
      </w:r>
    </w:p>
    <w:p>
      <w:pPr>
        <w:ind w:firstLine="640" w:firstLineChars="200"/>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rPr>
        <w:t>截至2020年12月31日，三亚市公安局本级及下属各预算单位共有车辆189辆，其中，领导干部用车0辆，机要通信应急用车4辆、一般执法执勤用车141辆、特种专业技术用车44辆、其他用车0辆。单位价值100万元以上设备4台（套）。</w:t>
      </w:r>
    </w:p>
    <w:p>
      <w:pPr>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（四）绩效目标设置情况</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2021年三亚市公安局183个项目实行绩效目标管理，涉及一般公共预算96596.61万元、政府性基金0万元。</w:t>
      </w:r>
    </w:p>
    <w:p>
      <w:pPr>
        <w:ind w:firstLine="200"/>
        <w:jc w:val="center"/>
        <w:rPr>
          <w:rFonts w:hint="default" w:ascii="Times New Roman" w:hAnsi="Times New Roman" w:eastAsia="黑体" w:cs="Times New Roman"/>
          <w:sz w:val="32"/>
          <w:szCs w:val="32"/>
        </w:rPr>
      </w:pPr>
    </w:p>
    <w:p>
      <w:pPr>
        <w:ind w:firstLine="200"/>
        <w:jc w:val="left"/>
        <w:rPr>
          <w:rFonts w:hint="default" w:ascii="Times New Roman" w:hAnsi="Times New Roman" w:eastAsia="仿宋_GB2312" w:cs="Times New Roman"/>
          <w:color w:val="000000"/>
          <w:kern w:val="0"/>
          <w:sz w:val="32"/>
          <w:szCs w:val="30"/>
        </w:rPr>
      </w:pPr>
    </w:p>
    <w:p>
      <w:pPr>
        <w:ind w:firstLine="200"/>
        <w:jc w:val="center"/>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第四部分  名词解释</w:t>
      </w:r>
    </w:p>
    <w:p>
      <w:pPr>
        <w:ind w:firstLine="640" w:firstLineChars="200"/>
        <w:jc w:val="left"/>
        <w:rPr>
          <w:rFonts w:hint="default" w:ascii="Times New Roman" w:hAnsi="Times New Roman" w:eastAsia="仿宋_GB2312" w:cs="Times New Roman"/>
          <w:bCs/>
          <w:color w:val="000000"/>
          <w:kern w:val="0"/>
          <w:sz w:val="32"/>
          <w:szCs w:val="32"/>
          <w:lang w:val="zh-CN"/>
        </w:rPr>
      </w:pPr>
    </w:p>
    <w:p>
      <w:pPr>
        <w:ind w:firstLine="640" w:firstLineChars="200"/>
        <w:jc w:val="left"/>
        <w:rPr>
          <w:rFonts w:hint="default" w:ascii="Times New Roman" w:hAnsi="Times New Roman" w:eastAsia="仿宋_GB2312" w:cs="Times New Roman"/>
          <w:color w:val="000000"/>
          <w:kern w:val="0"/>
          <w:sz w:val="32"/>
          <w:szCs w:val="30"/>
        </w:rPr>
      </w:pPr>
      <w:r>
        <w:rPr>
          <w:rFonts w:hint="default" w:ascii="Times New Roman" w:hAnsi="Times New Roman" w:eastAsia="仿宋_GB2312" w:cs="Times New Roman"/>
          <w:color w:val="000000"/>
          <w:kern w:val="0"/>
          <w:sz w:val="32"/>
          <w:szCs w:val="30"/>
        </w:rPr>
        <w:t>一、财政拨款收入：指本级财政当年拨付的资金。</w:t>
      </w:r>
    </w:p>
    <w:p>
      <w:pPr>
        <w:ind w:firstLine="640" w:firstLineChars="200"/>
        <w:jc w:val="left"/>
        <w:rPr>
          <w:rFonts w:hint="default" w:ascii="Times New Roman" w:hAnsi="Times New Roman" w:eastAsia="仿宋_GB2312" w:cs="Times New Roman"/>
          <w:color w:val="000000"/>
          <w:kern w:val="0"/>
          <w:sz w:val="32"/>
          <w:szCs w:val="30"/>
        </w:rPr>
      </w:pPr>
      <w:r>
        <w:rPr>
          <w:rFonts w:hint="default" w:ascii="Times New Roman" w:hAnsi="Times New Roman" w:eastAsia="仿宋_GB2312" w:cs="Times New Roman"/>
          <w:color w:val="000000"/>
          <w:kern w:val="0"/>
          <w:sz w:val="32"/>
          <w:szCs w:val="30"/>
        </w:rPr>
        <w:t>二、事业收入：指事业单位开展专业业务活动及辅助活动取得的收入。</w:t>
      </w:r>
    </w:p>
    <w:p>
      <w:pPr>
        <w:ind w:firstLine="640" w:firstLineChars="200"/>
        <w:jc w:val="left"/>
        <w:rPr>
          <w:rFonts w:hint="default" w:ascii="Times New Roman" w:hAnsi="Times New Roman" w:eastAsia="仿宋_GB2312" w:cs="Times New Roman"/>
          <w:color w:val="000000"/>
          <w:kern w:val="0"/>
          <w:sz w:val="32"/>
          <w:szCs w:val="30"/>
        </w:rPr>
      </w:pPr>
      <w:r>
        <w:rPr>
          <w:rFonts w:hint="default" w:ascii="Times New Roman" w:hAnsi="Times New Roman" w:eastAsia="仿宋_GB2312" w:cs="Times New Roman"/>
          <w:color w:val="000000"/>
          <w:kern w:val="0"/>
          <w:sz w:val="32"/>
          <w:szCs w:val="30"/>
        </w:rPr>
        <w:t>三、经营收入：指事业单位在专业业务活动及其辅助活动之外开展非独立核算经营活动取得的收入。</w:t>
      </w:r>
    </w:p>
    <w:p>
      <w:pPr>
        <w:ind w:firstLine="640" w:firstLineChars="200"/>
        <w:jc w:val="left"/>
        <w:rPr>
          <w:rFonts w:hint="default" w:ascii="Times New Roman" w:hAnsi="Times New Roman" w:eastAsia="仿宋_GB2312" w:cs="Times New Roman"/>
          <w:color w:val="000000"/>
          <w:kern w:val="0"/>
          <w:sz w:val="32"/>
          <w:szCs w:val="30"/>
        </w:rPr>
      </w:pPr>
      <w:r>
        <w:rPr>
          <w:rFonts w:hint="default" w:ascii="Times New Roman" w:hAnsi="Times New Roman" w:eastAsia="仿宋_GB2312" w:cs="Times New Roman"/>
          <w:color w:val="000000"/>
          <w:kern w:val="0"/>
          <w:sz w:val="32"/>
          <w:szCs w:val="30"/>
        </w:rPr>
        <w:t>四、其他收入：指除上述“财政拨款收入”“事业收入”“经营收入”等以外的收入。</w:t>
      </w:r>
    </w:p>
    <w:p>
      <w:pPr>
        <w:ind w:firstLine="640" w:firstLineChars="200"/>
        <w:jc w:val="left"/>
        <w:rPr>
          <w:rFonts w:hint="default" w:ascii="Times New Roman" w:hAnsi="Times New Roman" w:eastAsia="仿宋_GB2312" w:cs="Times New Roman"/>
          <w:color w:val="000000"/>
          <w:kern w:val="0"/>
          <w:sz w:val="32"/>
          <w:szCs w:val="30"/>
        </w:rPr>
      </w:pPr>
      <w:r>
        <w:rPr>
          <w:rFonts w:hint="default" w:ascii="Times New Roman" w:hAnsi="Times New Roman" w:eastAsia="仿宋_GB2312" w:cs="Times New Roman"/>
          <w:color w:val="000000"/>
          <w:kern w:val="0"/>
          <w:sz w:val="32"/>
          <w:szCs w:val="30"/>
        </w:rPr>
        <w:t>五、年初结转和结余：指以前年度尚未完成、结转到本年按有关规定继续使用的资金。</w:t>
      </w:r>
    </w:p>
    <w:p>
      <w:pPr>
        <w:ind w:firstLine="640" w:firstLineChars="200"/>
        <w:jc w:val="left"/>
        <w:rPr>
          <w:rFonts w:hint="default" w:ascii="Times New Roman" w:hAnsi="Times New Roman" w:eastAsia="仿宋_GB2312" w:cs="Times New Roman"/>
          <w:color w:val="000000"/>
          <w:kern w:val="0"/>
          <w:sz w:val="32"/>
          <w:szCs w:val="30"/>
        </w:rPr>
      </w:pPr>
      <w:r>
        <w:rPr>
          <w:rFonts w:hint="default" w:ascii="Times New Roman" w:hAnsi="Times New Roman" w:eastAsia="仿宋_GB2312" w:cs="Times New Roman"/>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hint="default" w:ascii="Times New Roman" w:hAnsi="Times New Roman" w:eastAsia="仿宋_GB2312" w:cs="Times New Roman"/>
          <w:color w:val="000000"/>
          <w:kern w:val="0"/>
          <w:sz w:val="32"/>
          <w:szCs w:val="30"/>
        </w:rPr>
      </w:pPr>
      <w:r>
        <w:rPr>
          <w:rFonts w:hint="default" w:ascii="Times New Roman" w:hAnsi="Times New Roman" w:eastAsia="仿宋_GB2312" w:cs="Times New Roman"/>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hint="default" w:ascii="Times New Roman" w:hAnsi="Times New Roman" w:eastAsia="仿宋_GB2312" w:cs="Times New Roman"/>
          <w:color w:val="000000"/>
          <w:kern w:val="0"/>
          <w:sz w:val="32"/>
          <w:szCs w:val="30"/>
        </w:rPr>
      </w:pPr>
      <w:r>
        <w:rPr>
          <w:rFonts w:hint="default" w:ascii="Times New Roman" w:hAnsi="Times New Roman" w:eastAsia="仿宋_GB2312" w:cs="Times New Roman"/>
          <w:color w:val="000000"/>
          <w:kern w:val="0"/>
          <w:sz w:val="32"/>
          <w:szCs w:val="30"/>
        </w:rPr>
        <w:t>八、对个人和家庭的补助支出：反映政府用于对个人和家庭的补助支出，包括离休费、退休费、退职（役）费、抚恤金、生活补助、救济费、医疗费补助、助学金、独生子女奖励金、其他等。</w:t>
      </w:r>
    </w:p>
    <w:p>
      <w:pPr>
        <w:ind w:firstLine="640" w:firstLineChars="200"/>
        <w:jc w:val="left"/>
        <w:rPr>
          <w:rFonts w:hint="default" w:ascii="Times New Roman" w:hAnsi="Times New Roman" w:eastAsia="仿宋_GB2312" w:cs="Times New Roman"/>
          <w:color w:val="000000"/>
          <w:kern w:val="0"/>
          <w:sz w:val="32"/>
          <w:szCs w:val="30"/>
        </w:rPr>
      </w:pPr>
      <w:r>
        <w:rPr>
          <w:rFonts w:hint="default" w:ascii="Times New Roman" w:hAnsi="Times New Roman" w:eastAsia="仿宋_GB2312" w:cs="Times New Roman"/>
          <w:color w:val="000000"/>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pPr>
        <w:ind w:firstLine="640" w:firstLineChars="200"/>
        <w:jc w:val="left"/>
        <w:rPr>
          <w:rFonts w:hint="default" w:ascii="Times New Roman" w:hAnsi="Times New Roman" w:eastAsia="仿宋_GB2312" w:cs="Times New Roman"/>
          <w:color w:val="000000"/>
          <w:kern w:val="0"/>
          <w:sz w:val="32"/>
          <w:szCs w:val="30"/>
        </w:rPr>
      </w:pPr>
      <w:r>
        <w:rPr>
          <w:rFonts w:hint="default" w:ascii="Times New Roman" w:hAnsi="Times New Roman" w:eastAsia="仿宋_GB2312" w:cs="Times New Roman"/>
          <w:color w:val="000000"/>
          <w:kern w:val="0"/>
          <w:sz w:val="32"/>
          <w:szCs w:val="30"/>
        </w:rPr>
        <w:t>十、项目支出：指各部门、各单位为完成其特定的工作任务和事业发展目标所发生的支出。</w:t>
      </w:r>
    </w:p>
    <w:p>
      <w:pPr>
        <w:ind w:firstLine="640" w:firstLineChars="200"/>
        <w:jc w:val="left"/>
        <w:rPr>
          <w:rFonts w:hint="default" w:ascii="Times New Roman" w:hAnsi="Times New Roman" w:eastAsia="仿宋_GB2312" w:cs="Times New Roman"/>
          <w:color w:val="000000"/>
          <w:kern w:val="0"/>
          <w:sz w:val="32"/>
          <w:szCs w:val="30"/>
        </w:rPr>
      </w:pPr>
      <w:r>
        <w:rPr>
          <w:rFonts w:hint="default" w:ascii="Times New Roman" w:hAnsi="Times New Roman" w:eastAsia="仿宋_GB2312" w:cs="Times New Roman"/>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hint="default" w:ascii="Times New Roman" w:hAnsi="Times New Roman" w:eastAsia="仿宋_GB2312" w:cs="Times New Roman"/>
          <w:color w:val="000000"/>
          <w:kern w:val="0"/>
          <w:sz w:val="32"/>
          <w:szCs w:val="30"/>
        </w:rPr>
      </w:pPr>
      <w:r>
        <w:rPr>
          <w:rFonts w:hint="default" w:ascii="Times New Roman" w:hAnsi="Times New Roman" w:eastAsia="仿宋_GB2312" w:cs="Times New Roman"/>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200"/>
        <w:rPr>
          <w:rFonts w:hint="default" w:ascii="Times New Roman" w:hAnsi="Times New Roman" w:cs="Times New Roman"/>
        </w:rPr>
      </w:pPr>
    </w:p>
    <w:p>
      <w:pPr>
        <w:ind w:firstLine="200"/>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023204"/>
    <w:multiLevelType w:val="multilevel"/>
    <w:tmpl w:val="36023204"/>
    <w:lvl w:ilvl="0" w:tentative="0">
      <w:start w:val="1"/>
      <w:numFmt w:val="japaneseCounting"/>
      <w:lvlText w:val="%1、"/>
      <w:lvlJc w:val="left"/>
      <w:pPr>
        <w:ind w:left="720" w:hanging="720"/>
      </w:pPr>
      <w:rPr>
        <w:rFonts w:hint="default"/>
        <w:lang w:val="en-US"/>
      </w:rPr>
    </w:lvl>
    <w:lvl w:ilvl="1" w:tentative="0">
      <w:start w:val="1"/>
      <w:numFmt w:val="japaneseCounting"/>
      <w:lvlText w:val="（%2）"/>
      <w:lvlJc w:val="left"/>
      <w:pPr>
        <w:ind w:left="1500" w:hanging="1080"/>
      </w:pPr>
      <w:rPr>
        <w:rFonts w:hint="default" w:cs="黑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15F63"/>
    <w:rsid w:val="00112F47"/>
    <w:rsid w:val="00174334"/>
    <w:rsid w:val="002E4CC9"/>
    <w:rsid w:val="003015F8"/>
    <w:rsid w:val="00715F63"/>
    <w:rsid w:val="008539F2"/>
    <w:rsid w:val="00A07094"/>
    <w:rsid w:val="00A5795E"/>
    <w:rsid w:val="00B133C6"/>
    <w:rsid w:val="00B31255"/>
    <w:rsid w:val="00C63F86"/>
    <w:rsid w:val="057D6F42"/>
    <w:rsid w:val="0B712851"/>
    <w:rsid w:val="5E2D3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 w:type="paragraph" w:customStyle="1" w:styleId="4">
    <w:name w:val="列出段落1"/>
    <w:basedOn w:val="1"/>
    <w:qFormat/>
    <w:uiPriority w:val="34"/>
    <w:pPr>
      <w:ind w:firstLine="420" w:firstLineChars="200"/>
    </w:pPr>
  </w:style>
  <w:style w:type="paragraph" w:customStyle="1" w:styleId="5">
    <w:name w:val="List Paragraph1"/>
    <w:basedOn w:val="1"/>
    <w:qFormat/>
    <w:uiPriority w:val="0"/>
    <w:pPr>
      <w:ind w:firstLine="420" w:firstLineChars="200"/>
    </w:p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4FC970-BFD6-44BC-A529-DB60409FCC70}">
  <ds:schemaRefs/>
</ds:datastoreItem>
</file>

<file path=docProps/app.xml><?xml version="1.0" encoding="utf-8"?>
<Properties xmlns="http://schemas.openxmlformats.org/officeDocument/2006/extended-properties" xmlns:vt="http://schemas.openxmlformats.org/officeDocument/2006/docPropsVTypes">
  <Template>Normal</Template>
  <Pages>13</Pages>
  <Words>771</Words>
  <Characters>4395</Characters>
  <Lines>36</Lines>
  <Paragraphs>10</Paragraphs>
  <TotalTime>2</TotalTime>
  <ScaleCrop>false</ScaleCrop>
  <LinksUpToDate>false</LinksUpToDate>
  <CharactersWithSpaces>5156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2021-03-02T04:34:00Z</dcterms:created>
  <dc:creator>windows17</dc:creator>
  <cp:lastModifiedBy>王小冬</cp:lastModifiedBy>
  <dcterms:modified xsi:type="dcterms:W3CDTF">2021-03-02T08:45:40Z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