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val="en-US" w:eastAsia="zh-CN"/>
        </w:rPr>
        <w:t>三亚市粮食和物资储备服务中心</w:t>
      </w:r>
      <w:r>
        <w:rPr>
          <w:rFonts w:hint="eastAsia"/>
          <w:sz w:val="52"/>
          <w:szCs w:val="52"/>
        </w:rPr>
        <w:t>（单位）预算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部门预算单位构成</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w:t>
      </w:r>
      <w:r>
        <w:rPr>
          <w:rFonts w:hint="eastAsia" w:ascii="黑体" w:hAnsi="黑体" w:eastAsia="黑体"/>
          <w:sz w:val="32"/>
          <w:szCs w:val="32"/>
        </w:rPr>
        <w:t>单位）预算情况说明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（单位）概况</w:t>
      </w:r>
    </w:p>
    <w:p>
      <w:pPr>
        <w:jc w:val="left"/>
        <w:rPr>
          <w:rFonts w:ascii="仿宋_GB2312" w:hAnsi="仿宋_GB2312" w:eastAsia="仿宋_GB2312" w:cs="仿宋_GB2312"/>
          <w:sz w:val="32"/>
          <w:szCs w:val="32"/>
        </w:rPr>
      </w:pPr>
    </w:p>
    <w:p>
      <w:pPr>
        <w:pStyle w:val="6"/>
        <w:numPr>
          <w:ilvl w:val="-1"/>
          <w:numId w:val="0"/>
        </w:numPr>
        <w:ind w:left="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spacing w:line="560" w:lineRule="exact"/>
        <w:ind w:firstLine="580"/>
        <w:rPr>
          <w:rFonts w:ascii="仿宋_GB2312" w:hAnsi="仿宋_GB2312" w:eastAsia="仿宋_GB2312" w:cs="仿宋_GB2312"/>
          <w:sz w:val="32"/>
          <w:szCs w:val="32"/>
        </w:rPr>
      </w:pPr>
      <w:r>
        <w:rPr>
          <w:rFonts w:hint="eastAsia" w:eastAsia="仿宋_GB2312"/>
          <w:kern w:val="0"/>
          <w:sz w:val="32"/>
          <w:szCs w:val="32"/>
          <w:lang w:val="en-US" w:eastAsia="zh-CN"/>
        </w:rPr>
        <w:t>承担粮食和物资储备服务的信息收集与综合分析、政策宣传、质量检验检测、技术推广和应用、粮食产品的展销服务、政策情粮食购销业务指导。承办上级部部门交办的其它工作。</w:t>
      </w:r>
    </w:p>
    <w:p>
      <w:pPr>
        <w:pStyle w:val="6"/>
        <w:numPr>
          <w:ilvl w:val="-1"/>
          <w:numId w:val="0"/>
        </w:numPr>
        <w:ind w:left="0" w:firstLine="640" w:firstLineChars="200"/>
        <w:jc w:val="left"/>
        <w:rPr>
          <w:rFonts w:ascii="黑体" w:hAnsi="黑体" w:eastAsia="黑体" w:cs="仿宋_GB2312"/>
          <w:sz w:val="32"/>
          <w:szCs w:val="32"/>
        </w:rPr>
      </w:pPr>
      <w:r>
        <w:rPr>
          <w:rFonts w:hint="eastAsia" w:ascii="黑体" w:hAnsi="黑体" w:eastAsia="黑体" w:cs="仿宋_GB2312"/>
          <w:sz w:val="32"/>
          <w:szCs w:val="32"/>
          <w:lang w:eastAsia="zh-CN"/>
        </w:rPr>
        <w:t>二、部门预算单位构成</w:t>
      </w:r>
    </w:p>
    <w:p>
      <w:pPr>
        <w:spacing w:line="560" w:lineRule="exact"/>
        <w:ind w:firstLine="580"/>
        <w:rPr>
          <w:rFonts w:hint="default" w:eastAsia="仿宋_GB2312"/>
          <w:kern w:val="0"/>
          <w:sz w:val="32"/>
          <w:szCs w:val="32"/>
          <w:lang w:val="en-US" w:eastAsia="zh-CN"/>
        </w:rPr>
      </w:pPr>
      <w:r>
        <w:rPr>
          <w:rFonts w:hint="eastAsia" w:eastAsia="仿宋_GB2312"/>
          <w:kern w:val="0"/>
          <w:sz w:val="32"/>
          <w:szCs w:val="32"/>
          <w:lang w:val="en-US" w:eastAsia="zh-CN"/>
        </w:rPr>
        <w:t>粮食和物资储备服务中心（科级</w:t>
      </w:r>
      <w:bookmarkStart w:id="0" w:name="_GoBack"/>
      <w:bookmarkEnd w:id="0"/>
      <w:r>
        <w:rPr>
          <w:rFonts w:hint="eastAsia" w:eastAsia="仿宋_GB2312"/>
          <w:kern w:val="0"/>
          <w:sz w:val="32"/>
          <w:szCs w:val="32"/>
          <w:lang w:val="en-US" w:eastAsia="zh-CN"/>
        </w:rPr>
        <w:t>）</w:t>
      </w:r>
    </w:p>
    <w:p>
      <w:pPr>
        <w:ind w:firstLine="640" w:firstLineChars="200"/>
        <w:rPr>
          <w:rFonts w:ascii="黑体" w:hAnsi="黑体" w:eastAsia="黑体"/>
          <w:sz w:val="32"/>
          <w:szCs w:val="32"/>
        </w:rPr>
      </w:pPr>
      <w:r>
        <w:rPr>
          <w:rFonts w:hint="eastAsia" w:ascii="黑体" w:hAnsi="黑体" w:eastAsia="黑体"/>
          <w:sz w:val="32"/>
          <w:szCs w:val="32"/>
        </w:rPr>
        <w:t>第二部分</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第三部分</w:t>
      </w:r>
      <w:r>
        <w:rPr>
          <w:rFonts w:hint="eastAsia" w:ascii="黑体" w:hAnsi="黑体" w:eastAsia="黑体"/>
          <w:sz w:val="32"/>
          <w:szCs w:val="32"/>
          <w:lang w:val="en-US" w:eastAsia="zh-CN"/>
        </w:rPr>
        <w:t xml:space="preserve">  </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年（单位）预算情况说明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万元、社会保障和就业支出10.07万元、卫生健康支出7.93万元、住房保障支出</w:t>
      </w:r>
      <w:r>
        <w:rPr>
          <w:rFonts w:hint="eastAsia" w:ascii="仿宋_GB2312" w:hAnsi="黑体" w:eastAsia="仿宋_GB2312"/>
          <w:sz w:val="32"/>
          <w:szCs w:val="32"/>
          <w:lang w:val="en-US" w:eastAsia="zh-CN"/>
        </w:rPr>
        <w:t>5.27万元、 粮油物资储备支出52.60万元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sz w:val="32"/>
          <w:szCs w:val="32"/>
          <w:lang w:val="en-US" w:eastAsia="zh-CN"/>
        </w:rPr>
        <w:t>82.86</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8.27万元</w:t>
      </w:r>
      <w:r>
        <w:rPr>
          <w:rFonts w:hint="eastAsia" w:ascii="仿宋_GB2312" w:hAnsi="黑体" w:eastAsia="仿宋_GB2312"/>
          <w:sz w:val="32"/>
          <w:szCs w:val="32"/>
          <w:lang w:eastAsia="zh-CN"/>
        </w:rPr>
        <w:t>；</w:t>
      </w:r>
      <w:r>
        <w:rPr>
          <w:rFonts w:hint="eastAsia" w:ascii="仿宋_GB2312" w:hAnsi="黑体" w:eastAsia="仿宋_GB2312"/>
          <w:sz w:val="32"/>
          <w:szCs w:val="32"/>
        </w:rPr>
        <w:t>主要是</w:t>
      </w:r>
      <w:r>
        <w:rPr>
          <w:rFonts w:hint="eastAsia" w:ascii="仿宋_GB2312" w:hAnsi="黑体" w:eastAsia="仿宋_GB2312"/>
          <w:sz w:val="32"/>
          <w:szCs w:val="32"/>
          <w:lang w:eastAsia="zh-CN"/>
        </w:rPr>
        <w:t>人员增加。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一般公共服务（类）支出</w:t>
      </w:r>
      <w:r>
        <w:rPr>
          <w:rFonts w:hint="eastAsia" w:ascii="仿宋_GB2312" w:hAnsi="黑体" w:eastAsia="仿宋_GB2312" w:cs="仿宋_GB2312"/>
          <w:sz w:val="32"/>
          <w:szCs w:val="32"/>
          <w:lang w:val="en-US" w:eastAsia="zh-CN"/>
        </w:rPr>
        <w:t>7.00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8.45</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10.07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12.15</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7.93</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9.57</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5.27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6.36</w:t>
      </w:r>
      <w:r>
        <w:rPr>
          <w:rFonts w:hint="eastAsia" w:ascii="仿宋_GB2312" w:hAnsi="黑体" w:eastAsia="仿宋_GB2312"/>
          <w:sz w:val="32"/>
          <w:szCs w:val="32"/>
        </w:rPr>
        <w:t>%；粮油物资储备（类）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52.60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63.48</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rPr>
        <w:t>1.一般公共服务（类）发展与改革事务（款）</w:t>
      </w:r>
      <w:r>
        <w:rPr>
          <w:rFonts w:hint="eastAsia" w:ascii="仿宋_GB2312" w:hAnsi="黑体" w:eastAsia="仿宋_GB2312" w:cs="仿宋_GB2312"/>
          <w:sz w:val="32"/>
          <w:szCs w:val="32"/>
          <w:lang w:val="en-US" w:eastAsia="zh-CN"/>
        </w:rPr>
        <w:t>事业</w:t>
      </w:r>
      <w:r>
        <w:rPr>
          <w:rFonts w:hint="eastAsia" w:ascii="仿宋_GB2312" w:hAnsi="黑体" w:eastAsia="仿宋_GB2312" w:cs="仿宋_GB2312"/>
          <w:sz w:val="32"/>
          <w:szCs w:val="32"/>
        </w:rPr>
        <w:t>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val="en-US" w:eastAsia="zh-CN"/>
        </w:rPr>
        <w:t>。</w:t>
      </w:r>
    </w:p>
    <w:p>
      <w:pPr>
        <w:shd w:val="clear"/>
        <w:ind w:firstLine="640" w:firstLineChars="200"/>
        <w:rPr>
          <w:rFonts w:hint="eastAsia" w:ascii="仿宋_GB2312" w:hAnsi="黑体"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hAnsi="黑体" w:eastAsia="仿宋_GB2312"/>
          <w:color w:val="000000" w:themeColor="text1"/>
          <w:sz w:val="32"/>
          <w:szCs w:val="32"/>
          <w:highlight w:val="none"/>
          <w:shd w:val="clear" w:color="auto" w:fill="auto"/>
          <w14:textFill>
            <w14:solidFill>
              <w14:schemeClr w14:val="tx1"/>
            </w14:solidFill>
          </w14:textFill>
        </w:rPr>
        <w:t>2.</w:t>
      </w:r>
      <w:r>
        <w:rPr>
          <w:rFonts w:hint="eastAsia" w:ascii="仿宋_GB2312" w:hAnsi="黑体" w:eastAsia="仿宋_GB2312" w:cs="仿宋_GB2312"/>
          <w:color w:val="000000" w:themeColor="text1"/>
          <w:sz w:val="32"/>
          <w:szCs w:val="32"/>
          <w:highlight w:val="none"/>
          <w:shd w:val="clear" w:color="auto" w:fill="auto"/>
          <w14:textFill>
            <w14:solidFill>
              <w14:schemeClr w14:val="tx1"/>
            </w14:solidFill>
          </w14:textFill>
        </w:rPr>
        <w:t xml:space="preserve"> 社会保障和就业支出（类）行政事业单位养老支出（款）机关事业单位基本养老保险缴费支出（项）</w:t>
      </w:r>
      <w:r>
        <w:rPr>
          <w:rFonts w:hint="eastAsia" w:ascii="仿宋_GB2312" w:hAnsi="黑体" w:eastAsia="仿宋_GB2312" w:cs="仿宋_GB2312"/>
          <w:color w:val="000000" w:themeColor="text1"/>
          <w:sz w:val="32"/>
          <w:szCs w:val="32"/>
          <w:highlight w:val="none"/>
          <w:shd w:val="clear" w:color="auto" w:fill="auto"/>
          <w:lang w:val="en-US" w:eastAsia="zh-CN"/>
          <w14:textFill>
            <w14:solidFill>
              <w14:schemeClr w14:val="tx1"/>
            </w14:solidFill>
          </w14:textFill>
        </w:rPr>
        <w:t>2023</w:t>
      </w:r>
      <w:r>
        <w:rPr>
          <w:rFonts w:hint="eastAsia" w:ascii="仿宋_GB2312" w:hAnsi="黑体" w:eastAsia="仿宋_GB2312"/>
          <w:color w:val="000000" w:themeColor="text1"/>
          <w:sz w:val="32"/>
          <w:szCs w:val="32"/>
          <w:highlight w:val="none"/>
          <w:shd w:val="clear" w:color="auto" w:fill="auto"/>
          <w14:textFill>
            <w14:solidFill>
              <w14:schemeClr w14:val="tx1"/>
            </w14:solidFill>
          </w14:textFill>
        </w:rPr>
        <w:t>年预算数为</w:t>
      </w:r>
      <w:r>
        <w:rPr>
          <w:rFonts w:hint="eastAsia" w:ascii="仿宋_GB2312" w:hAnsi="黑体" w:eastAsia="仿宋_GB2312" w:cs="仿宋_GB2312"/>
          <w:color w:val="000000" w:themeColor="text1"/>
          <w:sz w:val="32"/>
          <w:szCs w:val="32"/>
          <w:highlight w:val="none"/>
          <w:shd w:val="clear" w:color="auto" w:fill="auto"/>
          <w:lang w:val="en-US" w:eastAsia="zh-CN"/>
          <w14:textFill>
            <w14:solidFill>
              <w14:schemeClr w14:val="tx1"/>
            </w14:solidFill>
          </w14:textFill>
        </w:rPr>
        <w:t>6.71</w:t>
      </w:r>
      <w:r>
        <w:rPr>
          <w:rFonts w:hint="eastAsia" w:ascii="仿宋_GB2312" w:hAnsi="黑体" w:eastAsia="仿宋_GB2312"/>
          <w:color w:val="000000" w:themeColor="text1"/>
          <w:sz w:val="32"/>
          <w:szCs w:val="32"/>
          <w:highlight w:val="none"/>
          <w:shd w:val="clear" w:color="auto" w:fill="auto"/>
          <w14:textFill>
            <w14:solidFill>
              <w14:schemeClr w14:val="tx1"/>
            </w14:solidFill>
          </w14:textFill>
        </w:rPr>
        <w:t>万元，比上年预算数</w:t>
      </w:r>
      <w:r>
        <w:rPr>
          <w:rFonts w:hint="eastAsia" w:ascii="仿宋_GB2312" w:hAnsi="黑体" w:eastAsia="仿宋_GB2312" w:cs="仿宋_GB2312"/>
          <w:color w:val="000000" w:themeColor="text1"/>
          <w:sz w:val="32"/>
          <w:szCs w:val="32"/>
          <w:highlight w:val="none"/>
          <w:shd w:val="clear" w:color="auto" w:fill="auto"/>
          <w14:textFill>
            <w14:solidFill>
              <w14:schemeClr w14:val="tx1"/>
            </w14:solidFill>
          </w14:textFill>
        </w:rPr>
        <w:t>增加</w:t>
      </w:r>
      <w:r>
        <w:rPr>
          <w:rFonts w:hint="eastAsia" w:ascii="仿宋_GB2312" w:hAnsi="黑体" w:eastAsia="仿宋_GB2312" w:cs="仿宋_GB2312"/>
          <w:color w:val="000000" w:themeColor="text1"/>
          <w:sz w:val="32"/>
          <w:szCs w:val="32"/>
          <w:highlight w:val="none"/>
          <w:shd w:val="clear" w:color="auto" w:fill="auto"/>
          <w:lang w:val="en-US" w:eastAsia="zh-CN"/>
          <w14:textFill>
            <w14:solidFill>
              <w14:schemeClr w14:val="tx1"/>
            </w14:solidFill>
          </w14:textFill>
        </w:rPr>
        <w:t>1.62</w:t>
      </w:r>
      <w:r>
        <w:rPr>
          <w:rFonts w:hint="eastAsia" w:ascii="仿宋_GB2312" w:hAnsi="黑体" w:eastAsia="仿宋_GB2312"/>
          <w:color w:val="000000" w:themeColor="text1"/>
          <w:sz w:val="32"/>
          <w:szCs w:val="32"/>
          <w:highlight w:val="none"/>
          <w:shd w:val="clear" w:color="auto" w:fill="auto"/>
          <w14:textFill>
            <w14:solidFill>
              <w14:schemeClr w14:val="tx1"/>
            </w14:solidFill>
          </w14:textFill>
        </w:rPr>
        <w:t>万元，主要是</w:t>
      </w:r>
      <w:r>
        <w:rPr>
          <w:rFonts w:hint="eastAsia" w:ascii="仿宋_GB2312" w:hAnsi="黑体" w:eastAsia="仿宋_GB2312"/>
          <w:color w:val="000000" w:themeColor="text1"/>
          <w:sz w:val="32"/>
          <w:szCs w:val="32"/>
          <w:highlight w:val="none"/>
          <w:shd w:val="clear" w:color="auto" w:fill="auto"/>
          <w:lang w:eastAsia="zh-CN"/>
          <w14:textFill>
            <w14:solidFill>
              <w14:schemeClr w14:val="tx1"/>
            </w14:solidFill>
          </w14:textFill>
        </w:rPr>
        <w:t>人员增加。</w:t>
      </w:r>
    </w:p>
    <w:p>
      <w:pPr>
        <w:numPr>
          <w:ilvl w:val="-1"/>
          <w:numId w:val="0"/>
        </w:numPr>
        <w:shd w:val="clear"/>
        <w:ind w:left="630" w:firstLine="0" w:firstLineChars="0"/>
        <w:rPr>
          <w:rFonts w:hint="default" w:ascii="仿宋_GB2312" w:hAnsi="黑体" w:eastAsia="仿宋_GB2312"/>
          <w:color w:val="000000" w:themeColor="text1"/>
          <w:sz w:val="32"/>
          <w:szCs w:val="32"/>
          <w:highlight w:val="none"/>
          <w:shd w:val="clear" w:color="auto" w:fill="auto"/>
          <w:lang w:val="en-US" w:eastAsia="zh-CN"/>
          <w14:textFill>
            <w14:solidFill>
              <w14:schemeClr w14:val="tx1"/>
            </w14:solidFill>
          </w14:textFill>
        </w:rPr>
      </w:pPr>
      <w:r>
        <w:rPr>
          <w:rFonts w:hint="eastAsia" w:ascii="仿宋_GB2312" w:hAnsi="黑体" w:eastAsia="仿宋_GB2312" w:cs="仿宋_GB2312"/>
          <w:color w:val="000000" w:themeColor="text1"/>
          <w:sz w:val="32"/>
          <w:szCs w:val="32"/>
          <w:highlight w:val="none"/>
          <w:shd w:val="clear" w:color="auto" w:fill="auto"/>
          <w:lang w:val="en-US" w:eastAsia="zh-CN"/>
          <w14:textFill>
            <w14:solidFill>
              <w14:schemeClr w14:val="tx1"/>
            </w14:solidFill>
          </w14:textFill>
        </w:rPr>
        <w:t>3.</w:t>
      </w:r>
      <w:r>
        <w:rPr>
          <w:rFonts w:hint="eastAsia" w:ascii="仿宋_GB2312" w:hAnsi="黑体" w:eastAsia="仿宋_GB2312" w:cs="仿宋_GB2312"/>
          <w:color w:val="000000" w:themeColor="text1"/>
          <w:sz w:val="32"/>
          <w:szCs w:val="32"/>
          <w:highlight w:val="none"/>
          <w:shd w:val="clear" w:color="auto" w:fill="auto"/>
          <w14:textFill>
            <w14:solidFill>
              <w14:schemeClr w14:val="tx1"/>
            </w14:solidFill>
          </w14:textFill>
        </w:rPr>
        <w:t xml:space="preserve"> 社会保障和就业支出（类）行政事业单位养老支出（款）机关事业单位职业年金缴费支出（项）</w:t>
      </w:r>
      <w:r>
        <w:rPr>
          <w:rFonts w:hint="eastAsia" w:ascii="仿宋_GB2312" w:hAnsi="黑体" w:eastAsia="仿宋_GB2312" w:cs="仿宋_GB2312"/>
          <w:color w:val="000000" w:themeColor="text1"/>
          <w:sz w:val="32"/>
          <w:szCs w:val="32"/>
          <w:highlight w:val="none"/>
          <w:shd w:val="clear" w:color="auto" w:fill="auto"/>
          <w:lang w:val="en-US" w:eastAsia="zh-CN"/>
          <w14:textFill>
            <w14:solidFill>
              <w14:schemeClr w14:val="tx1"/>
            </w14:solidFill>
          </w14:textFill>
        </w:rPr>
        <w:t>2023</w:t>
      </w:r>
      <w:r>
        <w:rPr>
          <w:rFonts w:hint="eastAsia" w:ascii="仿宋_GB2312" w:hAnsi="黑体" w:eastAsia="仿宋_GB2312"/>
          <w:color w:val="000000" w:themeColor="text1"/>
          <w:sz w:val="32"/>
          <w:szCs w:val="32"/>
          <w:highlight w:val="none"/>
          <w:shd w:val="clear" w:color="auto" w:fill="auto"/>
          <w14:textFill>
            <w14:solidFill>
              <w14:schemeClr w14:val="tx1"/>
            </w14:solidFill>
          </w14:textFill>
        </w:rPr>
        <w:t>年预算数为</w:t>
      </w:r>
      <w:r>
        <w:rPr>
          <w:rFonts w:hint="eastAsia" w:ascii="仿宋_GB2312" w:hAnsi="黑体" w:eastAsia="仿宋_GB2312" w:cs="仿宋_GB2312"/>
          <w:color w:val="000000" w:themeColor="text1"/>
          <w:sz w:val="32"/>
          <w:szCs w:val="32"/>
          <w:highlight w:val="none"/>
          <w:shd w:val="clear" w:color="auto" w:fill="auto"/>
          <w:lang w:val="en-US" w:eastAsia="zh-CN"/>
          <w14:textFill>
            <w14:solidFill>
              <w14:schemeClr w14:val="tx1"/>
            </w14:solidFill>
          </w14:textFill>
        </w:rPr>
        <w:t>3.36</w:t>
      </w:r>
      <w:r>
        <w:rPr>
          <w:rFonts w:hint="eastAsia" w:ascii="仿宋_GB2312" w:hAnsi="黑体" w:eastAsia="仿宋_GB2312"/>
          <w:color w:val="000000" w:themeColor="text1"/>
          <w:sz w:val="32"/>
          <w:szCs w:val="32"/>
          <w:highlight w:val="none"/>
          <w:shd w:val="clear" w:color="auto" w:fill="auto"/>
          <w14:textFill>
            <w14:solidFill>
              <w14:schemeClr w14:val="tx1"/>
            </w14:solidFill>
          </w14:textFill>
        </w:rPr>
        <w:t>万元，</w:t>
      </w:r>
      <w:r>
        <w:rPr>
          <w:rFonts w:hint="eastAsia" w:ascii="仿宋_GB2312" w:hAnsi="黑体" w:eastAsia="仿宋_GB2312"/>
          <w:color w:val="000000" w:themeColor="text1"/>
          <w:sz w:val="32"/>
          <w:szCs w:val="32"/>
          <w:highlight w:val="none"/>
          <w:shd w:val="clear" w:color="auto" w:fill="auto"/>
          <w:lang w:eastAsia="zh-CN"/>
          <w14:textFill>
            <w14:solidFill>
              <w14:schemeClr w14:val="tx1"/>
            </w14:solidFill>
          </w14:textFill>
        </w:rPr>
        <w:t>上年未安排预算。</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卫生健康支出（类）行政事业单位医疗（款）事业单位医疗（项）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3.53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0.82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卫生健康支出（类）行政事业单位医疗（款）公务员医疗补助（项）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4.39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1.16</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6.</w:t>
      </w:r>
      <w:r>
        <w:rPr>
          <w:rFonts w:hint="eastAsia" w:ascii="仿宋_GB2312" w:hAnsi="黑体" w:eastAsia="仿宋_GB2312" w:cs="仿宋_GB2312"/>
          <w:sz w:val="32"/>
          <w:szCs w:val="32"/>
        </w:rPr>
        <w:t>住房保障支出（类）住房改革支出（款）住房公积金（项）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1.40</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人员增加。</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7.</w:t>
      </w:r>
      <w:r>
        <w:rPr>
          <w:rFonts w:hint="eastAsia" w:ascii="仿宋_GB2312" w:hAnsi="黑体" w:eastAsia="仿宋_GB2312" w:cs="仿宋_GB2312"/>
          <w:sz w:val="32"/>
          <w:szCs w:val="32"/>
        </w:rPr>
        <w:t>粮油物资储备支出（类）粮油物资事务（款）事业运行（项）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52.60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0.09</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预算编制趋于合理。</w:t>
      </w:r>
    </w:p>
    <w:p>
      <w:pPr>
        <w:ind w:firstLine="640" w:firstLineChars="20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75.86</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71.13</w:t>
      </w:r>
      <w:r>
        <w:rPr>
          <w:rFonts w:hint="eastAsia" w:ascii="仿宋_GB2312" w:hAnsi="黑体" w:eastAsia="仿宋_GB2312"/>
          <w:sz w:val="32"/>
          <w:szCs w:val="32"/>
        </w:rPr>
        <w:t>万元，主要包括：基本工资、津贴补贴、机关事业单位基本养老保险缴费</w:t>
      </w:r>
      <w:r>
        <w:rPr>
          <w:rFonts w:hint="eastAsia" w:ascii="仿宋_GB2312" w:hAnsi="黑体" w:eastAsia="仿宋_GB2312"/>
          <w:sz w:val="32"/>
          <w:szCs w:val="32"/>
          <w:lang w:eastAsia="zh-CN"/>
        </w:rPr>
        <w:t>、职业年金缴费、职工基本医疗保险缴费、公务员医疗补助缴费、其他社会保障缴费、住房公积金、医疗费、其他工资福利支出、邮电费、奖励金</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4.74</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培训费、工会经费、福利费、</w:t>
      </w:r>
      <w:r>
        <w:rPr>
          <w:rFonts w:hint="eastAsia" w:ascii="仿宋_GB2312" w:hAnsi="黑体" w:eastAsia="仿宋_GB2312"/>
          <w:sz w:val="32"/>
          <w:szCs w:val="32"/>
        </w:rPr>
        <w:t>其他商品和服务支出。</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numPr>
          <w:ilvl w:val="-1"/>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2023年未安排政府性基金</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rPr>
        <w:t>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w:t>
      </w:r>
      <w:r>
        <w:rPr>
          <w:rFonts w:hint="eastAsia" w:ascii="仿宋_GB2312" w:hAnsi="黑体" w:eastAsia="仿宋_GB2312"/>
          <w:sz w:val="32"/>
          <w:szCs w:val="32"/>
          <w:lang w:eastAsia="zh-CN"/>
        </w:rPr>
        <w:t>、住房保障支出、</w:t>
      </w:r>
      <w:r>
        <w:rPr>
          <w:rFonts w:hint="eastAsia" w:ascii="仿宋_GB2312" w:hAnsi="黑体" w:eastAsia="仿宋_GB2312"/>
          <w:sz w:val="32"/>
          <w:szCs w:val="32"/>
        </w:rPr>
        <w:t>粮油物资储备支出。</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，占</w:t>
      </w:r>
      <w:r>
        <w:rPr>
          <w:rFonts w:hint="eastAsia" w:ascii="仿宋_GB2312" w:hAnsi="黑体" w:eastAsia="仿宋_GB2312"/>
          <w:sz w:val="32"/>
          <w:szCs w:val="32"/>
          <w:lang w:val="en-US" w:eastAsia="zh-CN"/>
        </w:rPr>
        <w:t>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万元；专项收入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8.27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新增人员</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cs="黑体"/>
          <w:sz w:val="32"/>
          <w:szCs w:val="32"/>
          <w:lang w:eastAsia="zh-CN"/>
        </w:rPr>
        <w:t>三亚市粮食和物资储备服务中心</w:t>
      </w:r>
      <w:r>
        <w:rPr>
          <w:rFonts w:hint="eastAsia" w:ascii="黑体" w:hAnsi="黑体" w:eastAsia="黑体"/>
          <w:sz w:val="32"/>
          <w:szCs w:val="32"/>
        </w:rPr>
        <w:t>（单位）</w:t>
      </w:r>
      <w:r>
        <w:rPr>
          <w:rFonts w:hint="eastAsia" w:ascii="仿宋_GB2312" w:hAnsi="黑体" w:eastAsia="仿宋_GB2312" w:cs="仿宋_GB2312"/>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黑体"/>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75.86</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91.55</w:t>
      </w:r>
      <w:r>
        <w:rPr>
          <w:rFonts w:hint="eastAsia" w:ascii="仿宋_GB2312" w:hAnsi="黑体" w:eastAsia="仿宋_GB2312"/>
          <w:sz w:val="32"/>
          <w:szCs w:val="32"/>
        </w:rPr>
        <w:t>%；项目支出</w:t>
      </w:r>
      <w:r>
        <w:rPr>
          <w:rFonts w:hint="eastAsia" w:ascii="仿宋_GB2312" w:hAnsi="黑体" w:eastAsia="仿宋_GB2312"/>
          <w:sz w:val="32"/>
          <w:szCs w:val="32"/>
          <w:lang w:val="en-US" w:eastAsia="zh-CN"/>
        </w:rPr>
        <w:t>7.00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8.45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8.27</w:t>
      </w:r>
      <w:r>
        <w:rPr>
          <w:rFonts w:hint="eastAsia" w:ascii="仿宋_GB2312" w:hAnsi="黑体" w:eastAsia="仿宋_GB2312"/>
          <w:sz w:val="32"/>
          <w:szCs w:val="32"/>
        </w:rPr>
        <w:t>万元，主要是</w:t>
      </w:r>
      <w:r>
        <w:rPr>
          <w:rFonts w:hint="eastAsia" w:ascii="仿宋_GB2312" w:hAnsi="黑体" w:eastAsia="仿宋_GB2312"/>
          <w:sz w:val="32"/>
          <w:szCs w:val="32"/>
          <w:lang w:val="en-US" w:eastAsia="zh-CN"/>
        </w:rPr>
        <w:t>人员增加、项目增加</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r>
        <w:rPr>
          <w:rFonts w:hint="eastAsia" w:ascii="楷体" w:hAnsi="楷体" w:eastAsia="楷体"/>
          <w:sz w:val="32"/>
          <w:szCs w:val="32"/>
          <w:lang w:val="en-US" w:eastAsia="zh-CN"/>
        </w:rPr>
        <w:t>（</w:t>
      </w:r>
      <w:r>
        <w:rPr>
          <w:rFonts w:hint="eastAsia" w:ascii="楷体" w:hAnsi="楷体" w:eastAsia="楷体"/>
          <w:sz w:val="32"/>
          <w:szCs w:val="32"/>
        </w:rPr>
        <w:t>行政单位</w:t>
      </w:r>
      <w:r>
        <w:rPr>
          <w:rFonts w:hint="eastAsia" w:ascii="楷体" w:hAnsi="楷体" w:eastAsia="楷体"/>
          <w:sz w:val="32"/>
          <w:szCs w:val="32"/>
          <w:lang w:eastAsia="zh-CN"/>
        </w:rPr>
        <w:t>、</w:t>
      </w:r>
      <w:r>
        <w:rPr>
          <w:rFonts w:hint="eastAsia" w:ascii="楷体" w:hAnsi="楷体" w:eastAsia="楷体"/>
          <w:sz w:val="32"/>
          <w:szCs w:val="32"/>
        </w:rPr>
        <w:t>参照公务员法管理的事业单位</w:t>
      </w:r>
      <w:r>
        <w:rPr>
          <w:rFonts w:hint="eastAsia" w:ascii="楷体" w:hAnsi="楷体" w:eastAsia="楷体"/>
          <w:sz w:val="32"/>
          <w:szCs w:val="32"/>
          <w:lang w:eastAsia="zh-CN"/>
        </w:rPr>
        <w:t>需说明，其他单位不需要说明</w:t>
      </w:r>
      <w:r>
        <w:rPr>
          <w:rFonts w:hint="eastAsia" w:ascii="楷体" w:hAnsi="楷体" w:eastAsia="楷体"/>
          <w:sz w:val="32"/>
          <w:szCs w:val="32"/>
          <w:lang w:val="en-US" w:eastAsia="zh-CN"/>
        </w:rPr>
        <w:t>）</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rPr>
        <w:t>等的机关运行经费预算</w:t>
      </w:r>
      <w:r>
        <w:rPr>
          <w:rFonts w:hint="eastAsia" w:ascii="仿宋_GB2312" w:hAnsi="黑体" w:eastAsia="仿宋_GB2312" w:cs="仿宋_GB2312"/>
          <w:sz w:val="32"/>
          <w:szCs w:val="32"/>
          <w:lang w:val="en-US" w:eastAsia="zh-CN"/>
        </w:rPr>
        <w:t>4.74</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rPr>
        <w:t>本级及下属各预算单位共有车辆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黑体"/>
          <w:sz w:val="32"/>
          <w:szCs w:val="32"/>
          <w:lang w:eastAsia="zh-CN"/>
        </w:rPr>
        <w:t>三亚市粮食和物资储备服务中心</w:t>
      </w:r>
      <w:r>
        <w:rPr>
          <w:rFonts w:hint="eastAsia" w:ascii="仿宋_GB2312" w:hAnsi="黑体" w:eastAsia="仿宋_GB2312"/>
          <w:sz w:val="32"/>
          <w:szCs w:val="32"/>
        </w:rPr>
        <w:t>（单位）</w:t>
      </w:r>
      <w:r>
        <w:rPr>
          <w:rFonts w:hint="eastAsia" w:ascii="仿宋_GB2312" w:hAnsi="黑体" w:eastAsia="仿宋_GB2312" w:cs="仿宋_GB2312"/>
          <w:sz w:val="32"/>
          <w:szCs w:val="32"/>
          <w:lang w:val="en-US" w:eastAsia="zh-CN"/>
        </w:rPr>
        <w:t>11</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82.86</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swiss"/>
    <w:pitch w:val="default"/>
    <w:sig w:usb0="A00002EF" w:usb1="4000004B" w:usb2="00000000" w:usb3="00000000" w:csb0="2000009F" w:csb1="00000000"/>
  </w:font>
  <w:font w:name="Calibri">
    <w:panose1 w:val="020F0502020204030204"/>
    <w:charset w:val="00"/>
    <w:family w:val="roman"/>
    <w:pitch w:val="default"/>
    <w:sig w:usb0="A00002EF" w:usb1="4000207B" w:usb2="00000000" w:usb3="00000000" w:csb0="200000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A00002EF" w:usb1="4000004B" w:usb2="00000000" w:usb3="00000000" w:csb0="2000009F" w:csb1="00000000"/>
  </w:font>
  <w:font w:name="Calibri">
    <w:panose1 w:val="020F0502020204030204"/>
    <w:charset w:val="00"/>
    <w:family w:val="modern"/>
    <w:pitch w:val="default"/>
    <w:sig w:usb0="A00002EF" w:usb1="4000207B" w:usb2="00000000" w:usb3="00000000" w:csb0="200000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92482439">
    <w:nsid w:val="05832B87"/>
    <w:multiLevelType w:val="multilevel"/>
    <w:tmpl w:val="05832B87"/>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5186183">
    <w:nsid w:val="4C9A6287"/>
    <w:multiLevelType w:val="multilevel"/>
    <w:tmpl w:val="4C9A6287"/>
    <w:lvl w:ilvl="0" w:tentative="1">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16312359">
    <w:nsid w:val="5A611727"/>
    <w:multiLevelType w:val="multilevel"/>
    <w:tmpl w:val="5A611727"/>
    <w:lvl w:ilvl="0" w:tentative="1">
      <w:start w:val="1"/>
      <w:numFmt w:val="japaneseCounting"/>
      <w:lvlText w:val="%1、"/>
      <w:lvlJc w:val="left"/>
      <w:pPr>
        <w:ind w:left="720" w:hanging="720"/>
      </w:pPr>
      <w:rPr>
        <w:rFonts w:hint="default" w:ascii="仿宋_GB2312" w:hAnsi="仿宋_GB2312" w:eastAsia="仿宋_GB2312" w:cs="仿宋_GB2312"/>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93038598">
    <w:nsid w:val="70D57A06"/>
    <w:multiLevelType w:val="multilevel"/>
    <w:tmpl w:val="70D57A06"/>
    <w:lvl w:ilvl="0" w:tentative="1">
      <w:start w:val="1"/>
      <w:numFmt w:val="chineseCountingThousand"/>
      <w:lvlText w:val="第%1部分"/>
      <w:lvlJc w:val="left"/>
      <w:pPr>
        <w:ind w:left="1320" w:hanging="1320"/>
      </w:pPr>
      <w:rPr>
        <w:rFonts w:hint="eastAsia" w:ascii="黑体" w:hAnsi="黑体" w:eastAsia="黑体" w:cs="黑体"/>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92482439"/>
  </w:num>
  <w:num w:numId="2">
    <w:abstractNumId w:val="1285186183"/>
  </w:num>
  <w:num w:numId="3">
    <w:abstractNumId w:val="1516312359"/>
  </w:num>
  <w:num w:numId="4">
    <w:abstractNumId w:val="18930385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A429E"/>
    <w:rsid w:val="035D123B"/>
    <w:rsid w:val="04BC05BA"/>
    <w:rsid w:val="082B75C0"/>
    <w:rsid w:val="0B5F69B8"/>
    <w:rsid w:val="0DA8553B"/>
    <w:rsid w:val="10483A83"/>
    <w:rsid w:val="116837FE"/>
    <w:rsid w:val="12A75860"/>
    <w:rsid w:val="19D5DA33"/>
    <w:rsid w:val="1D046116"/>
    <w:rsid w:val="1FBF8E30"/>
    <w:rsid w:val="21067763"/>
    <w:rsid w:val="2228582A"/>
    <w:rsid w:val="22E67BF7"/>
    <w:rsid w:val="236B78FC"/>
    <w:rsid w:val="24A15824"/>
    <w:rsid w:val="25D5541A"/>
    <w:rsid w:val="2A550C1C"/>
    <w:rsid w:val="2BDF0DC0"/>
    <w:rsid w:val="2C8363BC"/>
    <w:rsid w:val="2D285C6B"/>
    <w:rsid w:val="2D95272C"/>
    <w:rsid w:val="2F0B7456"/>
    <w:rsid w:val="2FF7110D"/>
    <w:rsid w:val="2FFFCED3"/>
    <w:rsid w:val="302848AF"/>
    <w:rsid w:val="30B43979"/>
    <w:rsid w:val="34014959"/>
    <w:rsid w:val="34B1195E"/>
    <w:rsid w:val="3F7FB4B5"/>
    <w:rsid w:val="3FAD4D11"/>
    <w:rsid w:val="3FF442A5"/>
    <w:rsid w:val="402A436B"/>
    <w:rsid w:val="408342C6"/>
    <w:rsid w:val="408549CE"/>
    <w:rsid w:val="445E5BA7"/>
    <w:rsid w:val="47D3001C"/>
    <w:rsid w:val="4C1C43C4"/>
    <w:rsid w:val="4EAD554B"/>
    <w:rsid w:val="4FB80849"/>
    <w:rsid w:val="50FB4B8D"/>
    <w:rsid w:val="512A2FA6"/>
    <w:rsid w:val="543512AB"/>
    <w:rsid w:val="5DB7E539"/>
    <w:rsid w:val="60A973D1"/>
    <w:rsid w:val="60F1225C"/>
    <w:rsid w:val="619B5147"/>
    <w:rsid w:val="66A24B67"/>
    <w:rsid w:val="66DACB0B"/>
    <w:rsid w:val="697BF56A"/>
    <w:rsid w:val="6B6CE30F"/>
    <w:rsid w:val="6C2037CF"/>
    <w:rsid w:val="6C2D021D"/>
    <w:rsid w:val="6C7F1319"/>
    <w:rsid w:val="6D5C4FA3"/>
    <w:rsid w:val="6DDF74AC"/>
    <w:rsid w:val="6E50485E"/>
    <w:rsid w:val="6E8870EF"/>
    <w:rsid w:val="6FAF0D8D"/>
    <w:rsid w:val="6FCFCADC"/>
    <w:rsid w:val="6FFA4FE6"/>
    <w:rsid w:val="72006C30"/>
    <w:rsid w:val="74126D5A"/>
    <w:rsid w:val="75FB0B04"/>
    <w:rsid w:val="78112891"/>
    <w:rsid w:val="78C979A8"/>
    <w:rsid w:val="79F7B683"/>
    <w:rsid w:val="7CAF0478"/>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4"/>
    <w:link w:val="3"/>
    <w:semiHidden/>
    <w:qFormat/>
    <w:uiPriority w:val="99"/>
    <w:rPr>
      <w:sz w:val="18"/>
      <w:szCs w:val="18"/>
    </w:rPr>
  </w:style>
  <w:style w:type="character" w:customStyle="1" w:styleId="9">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580</Words>
  <Characters>3311</Characters>
  <Lines>27</Lines>
  <Paragraphs>7</Paragraphs>
  <TotalTime>0</TotalTime>
  <ScaleCrop>false</ScaleCrop>
  <LinksUpToDate>false</LinksUpToDate>
  <CharactersWithSpaces>0</CharactersWithSpaces>
  <Application>WPS Office_10.8.0.5603_F1E327BC-269C-435d-A152-05C5408002CA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wang</cp:lastModifiedBy>
  <dcterms:modified xsi:type="dcterms:W3CDTF">2024-07-24T07:42:18Z</dcterms:modified>
  <dc:title>××年××部门（单位）预算</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ies>
</file>