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jc w:val="center"/>
        <w:rPr>
          <w:rFonts w:hint="eastAsia"/>
          <w:sz w:val="48"/>
          <w:szCs w:val="48"/>
        </w:rPr>
      </w:pPr>
    </w:p>
    <w:p>
      <w:pPr>
        <w:jc w:val="center"/>
        <w:rPr>
          <w:rFonts w:hint="eastAsia" w:ascii="宋体" w:hAnsi="宋体" w:cs="方正小标宋_GBK"/>
          <w:sz w:val="52"/>
          <w:szCs w:val="52"/>
        </w:rPr>
      </w:pPr>
      <w:r>
        <w:rPr>
          <w:rFonts w:hint="eastAsia" w:ascii="宋体" w:hAnsi="宋体" w:cs="方正小标宋_GBK"/>
          <w:sz w:val="52"/>
          <w:szCs w:val="52"/>
        </w:rPr>
        <w:t>2023年三亚市立才学校单位预算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sz w:val="52"/>
          <w:szCs w:val="52"/>
        </w:rPr>
      </w:pPr>
    </w:p>
    <w:p>
      <w:pPr>
        <w:jc w:val="center"/>
        <w:rPr>
          <w:rFonts w:hint="eastAsia" w:ascii="黑体" w:hAnsi="黑体" w:eastAsia="黑体"/>
          <w:sz w:val="52"/>
          <w:szCs w:val="52"/>
        </w:rPr>
      </w:pPr>
      <w:r>
        <w:rPr>
          <w:rFonts w:hint="eastAsia" w:ascii="黑体" w:hAnsi="黑体" w:eastAsia="黑体"/>
          <w:sz w:val="52"/>
          <w:szCs w:val="52"/>
        </w:rPr>
        <w:t>目录</w:t>
      </w:r>
    </w:p>
    <w:p>
      <w:pPr>
        <w:jc w:val="center"/>
        <w:rPr>
          <w:rFonts w:hint="eastAsia" w:ascii="黑体" w:hAnsi="黑体" w:eastAsia="黑体"/>
          <w:sz w:val="52"/>
          <w:szCs w:val="52"/>
        </w:rPr>
      </w:pP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三亚市立才学校单位概况</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lang w:val="en-US" w:eastAsia="zh-CN"/>
        </w:rPr>
        <w:t>机构设置</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 xml:space="preserve">  三亚市立才学校2023年单位预算表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三亚市立才学校2023年单位预算情况说明</w:t>
      </w:r>
    </w:p>
    <w:p>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8"/>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8"/>
        <w:ind w:firstLine="0" w:firstLineChars="0"/>
        <w:jc w:val="center"/>
        <w:rPr>
          <w:rFonts w:ascii="黑体" w:hAnsi="黑体" w:eastAsia="黑体" w:cs="仿宋_GB2312"/>
          <w:sz w:val="32"/>
          <w:szCs w:val="32"/>
        </w:rPr>
      </w:pPr>
      <w:r>
        <w:rPr>
          <w:rFonts w:hint="eastAsia" w:ascii="黑体" w:hAnsi="黑体" w:eastAsia="黑体"/>
          <w:sz w:val="32"/>
          <w:szCs w:val="32"/>
        </w:rPr>
        <w:t>第一部分  三亚市立才学校单位概况</w:t>
      </w:r>
    </w:p>
    <w:p>
      <w:pPr>
        <w:jc w:val="left"/>
        <w:rPr>
          <w:rFonts w:ascii="宋体" w:hAnsi="宋体" w:cs="仿宋_GB2312"/>
          <w:b/>
          <w:sz w:val="30"/>
          <w:szCs w:val="30"/>
        </w:rPr>
      </w:pPr>
    </w:p>
    <w:p>
      <w:pPr>
        <w:pStyle w:val="8"/>
        <w:ind w:firstLine="640"/>
        <w:jc w:val="left"/>
        <w:rPr>
          <w:rFonts w:hint="eastAsia" w:ascii="黑体" w:hAnsi="黑体" w:eastAsia="黑体" w:cs="仿宋_GB2312"/>
          <w:sz w:val="32"/>
          <w:szCs w:val="32"/>
        </w:rPr>
      </w:pPr>
      <w:r>
        <w:rPr>
          <w:rFonts w:hint="eastAsia" w:ascii="黑体" w:hAnsi="黑体" w:eastAsia="黑体" w:cs="仿宋_GB2312"/>
          <w:sz w:val="32"/>
          <w:szCs w:val="32"/>
        </w:rPr>
        <w:t>一、主要职能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kern w:val="0"/>
          <w:sz w:val="32"/>
          <w:szCs w:val="32"/>
          <w:lang w:eastAsia="zh-Hans"/>
        </w:rPr>
      </w:pPr>
      <w:r>
        <w:rPr>
          <w:rFonts w:hint="eastAsia" w:ascii="仿宋" w:hAnsi="仿宋" w:eastAsia="仿宋"/>
          <w:kern w:val="0"/>
          <w:sz w:val="32"/>
          <w:szCs w:val="32"/>
          <w:lang w:eastAsia="zh-Hans"/>
        </w:rPr>
        <w:t>全面贯彻党的教育方针，面向现代化、面向世界、面向未来。以“育人为本，德育为先，坚持改革，服务社会，发展自我”为办学理念，以“育时代优秀</w:t>
      </w:r>
      <w:r>
        <w:rPr>
          <w:rFonts w:hint="eastAsia" w:ascii="仿宋" w:hAnsi="仿宋" w:eastAsia="仿宋"/>
          <w:kern w:val="0"/>
          <w:sz w:val="32"/>
          <w:szCs w:val="32"/>
        </w:rPr>
        <w:t>立才</w:t>
      </w:r>
      <w:r>
        <w:rPr>
          <w:rFonts w:hint="eastAsia" w:ascii="仿宋" w:hAnsi="仿宋" w:eastAsia="仿宋"/>
          <w:kern w:val="0"/>
          <w:sz w:val="32"/>
          <w:szCs w:val="32"/>
          <w:lang w:eastAsia="zh-Hans"/>
        </w:rPr>
        <w:t>人”为办学目标，坚持改革领先，实践现代教育，为了每一个学生的终身发展，办人民满意的教育，为国家培养和造就社会主义事业的建设者和接班人。</w:t>
      </w:r>
      <w:bookmarkStart w:id="0" w:name="_Toc6572_WPSOffice_Level2"/>
      <w:bookmarkStart w:id="1" w:name="_Toc17796_WPSOffice_Level2"/>
      <w:bookmarkStart w:id="2" w:name="_Toc4833_WPSOffice_Level2"/>
      <w:bookmarkStart w:id="3" w:name="_Toc24059_WPSOffice_Level2"/>
      <w:bookmarkStart w:id="4" w:name="_Toc24474_WPSOffice_Level2"/>
    </w:p>
    <w:bookmarkEnd w:id="0"/>
    <w:bookmarkEnd w:id="1"/>
    <w:bookmarkEnd w:id="2"/>
    <w:bookmarkEnd w:id="3"/>
    <w:bookmarkEnd w:id="4"/>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二、机构设置</w:t>
      </w:r>
    </w:p>
    <w:p>
      <w:pPr>
        <w:pStyle w:val="8"/>
        <w:widowControl/>
        <w:spacing w:line="560" w:lineRule="exact"/>
        <w:ind w:firstLine="640"/>
        <w:jc w:val="left"/>
        <w:rPr>
          <w:rFonts w:ascii="仿宋_GB2312" w:hAnsi="ˎ̥" w:eastAsia="仿宋_GB2312"/>
          <w:color w:val="auto"/>
          <w:sz w:val="32"/>
          <w:szCs w:val="32"/>
        </w:rPr>
      </w:pPr>
      <w:r>
        <w:rPr>
          <w:rFonts w:hint="eastAsia" w:ascii="仿宋_GB2312" w:hAnsi="ˎ̥" w:eastAsia="仿宋_GB2312"/>
          <w:color w:val="auto"/>
          <w:sz w:val="32"/>
          <w:szCs w:val="32"/>
        </w:rPr>
        <w:t>三亚市</w:t>
      </w:r>
      <w:r>
        <w:rPr>
          <w:rFonts w:hint="eastAsia" w:ascii="仿宋_GB2312" w:hAnsi="ˎ̥" w:eastAsia="仿宋_GB2312"/>
          <w:color w:val="auto"/>
          <w:sz w:val="32"/>
          <w:szCs w:val="32"/>
          <w:lang w:val="en-US" w:eastAsia="zh-CN"/>
        </w:rPr>
        <w:t>立才学校</w:t>
      </w:r>
      <w:r>
        <w:rPr>
          <w:rFonts w:hint="eastAsia" w:ascii="仿宋_GB2312" w:hAnsi="ˎ̥" w:eastAsia="仿宋_GB2312"/>
          <w:color w:val="auto"/>
          <w:sz w:val="32"/>
          <w:szCs w:val="32"/>
        </w:rPr>
        <w:t>设</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个内设机构，事业编制</w:t>
      </w:r>
      <w:r>
        <w:rPr>
          <w:rFonts w:hint="eastAsia" w:ascii="仿宋_GB2312" w:hAnsi="ˎ̥" w:eastAsia="仿宋_GB2312"/>
          <w:color w:val="auto"/>
          <w:sz w:val="32"/>
          <w:szCs w:val="32"/>
          <w:lang w:val="en-US" w:eastAsia="zh-CN"/>
        </w:rPr>
        <w:t>61</w:t>
      </w:r>
      <w:r>
        <w:rPr>
          <w:rFonts w:hint="eastAsia" w:ascii="仿宋_GB2312" w:hAnsi="ˎ̥" w:eastAsia="仿宋_GB2312"/>
          <w:color w:val="auto"/>
          <w:sz w:val="32"/>
          <w:szCs w:val="32"/>
        </w:rPr>
        <w:t>名，设校长1名，部门主任3名。</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ˎ̥" w:eastAsia="黑体"/>
          <w:color w:val="000000"/>
          <w:sz w:val="32"/>
          <w:szCs w:val="32"/>
          <w:highlight w:val="none"/>
        </w:rPr>
      </w:pPr>
    </w:p>
    <w:p>
      <w:pPr>
        <w:spacing w:line="360" w:lineRule="auto"/>
        <w:ind w:firstLine="627" w:firstLineChars="196"/>
        <w:rPr>
          <w:rFonts w:hint="eastAsia" w:ascii="仿宋" w:hAnsi="仿宋" w:eastAsia="仿宋" w:cs="Arial"/>
          <w:kern w:val="0"/>
          <w:sz w:val="32"/>
          <w:szCs w:val="32"/>
        </w:rPr>
      </w:pPr>
    </w:p>
    <w:p>
      <w:pPr>
        <w:ind w:firstLine="480" w:firstLineChars="150"/>
        <w:rPr>
          <w:rFonts w:ascii="黑体" w:hAnsi="黑体" w:eastAsia="黑体"/>
          <w:sz w:val="32"/>
          <w:szCs w:val="32"/>
        </w:rPr>
      </w:pPr>
      <w:r>
        <w:rPr>
          <w:rFonts w:hint="eastAsia" w:ascii="黑体" w:hAnsi="黑体" w:eastAsia="黑体"/>
          <w:sz w:val="32"/>
          <w:szCs w:val="32"/>
        </w:rPr>
        <w:t>第二部分  三亚市立才学校2023年单位预算表</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一、收入支出决算公开表</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bookmarkStart w:id="5" w:name="_Toc30334_WPSOffice_Level2"/>
      <w:bookmarkStart w:id="6" w:name="_Toc26621_WPSOffice_Level2"/>
      <w:bookmarkStart w:id="7" w:name="_Toc25608_WPSOffice_Level2"/>
      <w:bookmarkStart w:id="8" w:name="_Toc23139_WPSOffice_Level2"/>
      <w:bookmarkStart w:id="9" w:name="_Toc14349_WPSOffice_Level2"/>
      <w:bookmarkStart w:id="10" w:name="_Toc28622_WPSOffice_Level2"/>
      <w:r>
        <w:rPr>
          <w:rFonts w:hint="eastAsia" w:ascii="黑体" w:hAnsi="黑体" w:eastAsia="黑体" w:cs="黑体"/>
          <w:color w:val="000000"/>
          <w:sz w:val="32"/>
          <w:szCs w:val="32"/>
          <w:highlight w:val="none"/>
        </w:rPr>
        <w:t>二、收入决算公开表</w:t>
      </w:r>
      <w:bookmarkEnd w:id="5"/>
      <w:bookmarkEnd w:id="6"/>
      <w:bookmarkEnd w:id="7"/>
      <w:bookmarkEnd w:id="8"/>
      <w:bookmarkEnd w:id="9"/>
      <w:bookmarkEnd w:id="10"/>
      <w:bookmarkStart w:id="11" w:name="_Toc13854_WPSOffice_Level2"/>
      <w:bookmarkStart w:id="12" w:name="_Toc5489_WPSOffice_Level2"/>
      <w:bookmarkStart w:id="13" w:name="_Toc17858_WPSOffice_Level2"/>
      <w:bookmarkStart w:id="14" w:name="_Toc14658_WPSOffice_Level2"/>
      <w:bookmarkStart w:id="15" w:name="_Toc17626_WPSOffice_Level2"/>
      <w:bookmarkStart w:id="16" w:name="_Toc3262_WPSOffice_Level2"/>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三、支出决算公开表</w:t>
      </w:r>
      <w:bookmarkEnd w:id="11"/>
      <w:bookmarkEnd w:id="12"/>
      <w:bookmarkEnd w:id="13"/>
      <w:bookmarkEnd w:id="14"/>
      <w:bookmarkEnd w:id="15"/>
      <w:bookmarkEnd w:id="16"/>
      <w:bookmarkStart w:id="17" w:name="_Toc4265_WPSOffice_Level2"/>
      <w:bookmarkStart w:id="18" w:name="_Toc13701_WPSOffice_Level2"/>
      <w:bookmarkStart w:id="19" w:name="_Toc23493_WPSOffice_Level2"/>
      <w:bookmarkStart w:id="20" w:name="_Toc21415_WPSOffice_Level2"/>
      <w:bookmarkStart w:id="21" w:name="_Toc7988_WPSOffice_Level2"/>
      <w:bookmarkStart w:id="22" w:name="_Toc23591_WPSOffice_Level2"/>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四、财政拨款收入支出决算公开表</w:t>
      </w:r>
      <w:bookmarkEnd w:id="17"/>
      <w:bookmarkEnd w:id="18"/>
      <w:bookmarkEnd w:id="19"/>
      <w:bookmarkEnd w:id="20"/>
      <w:bookmarkEnd w:id="21"/>
      <w:bookmarkEnd w:id="22"/>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bookmarkStart w:id="23" w:name="_Toc7879_WPSOffice_Level2"/>
      <w:bookmarkStart w:id="24" w:name="_Toc25166_WPSOffice_Level2"/>
      <w:bookmarkStart w:id="25" w:name="_Toc23829_WPSOffice_Level2"/>
      <w:bookmarkStart w:id="26" w:name="_Toc22783_WPSOffice_Level2"/>
      <w:bookmarkStart w:id="27" w:name="_Toc2158_WPSOffice_Level2"/>
      <w:bookmarkStart w:id="28" w:name="_Toc13516_WPSOffice_Level2"/>
      <w:r>
        <w:rPr>
          <w:rFonts w:hint="eastAsia" w:ascii="黑体" w:hAnsi="黑体" w:eastAsia="黑体" w:cs="黑体"/>
          <w:color w:val="000000"/>
          <w:sz w:val="32"/>
          <w:szCs w:val="32"/>
          <w:highlight w:val="none"/>
        </w:rPr>
        <w:t>五、一般公共预算财政拨款收入支出决算</w:t>
      </w:r>
      <w:bookmarkEnd w:id="23"/>
      <w:bookmarkEnd w:id="24"/>
      <w:bookmarkEnd w:id="25"/>
      <w:bookmarkEnd w:id="26"/>
      <w:r>
        <w:rPr>
          <w:rFonts w:hint="eastAsia" w:ascii="黑体" w:hAnsi="黑体" w:eastAsia="黑体" w:cs="黑体"/>
          <w:color w:val="000000"/>
          <w:sz w:val="32"/>
          <w:szCs w:val="32"/>
          <w:highlight w:val="none"/>
        </w:rPr>
        <w:t>公开表</w:t>
      </w:r>
      <w:bookmarkEnd w:id="27"/>
      <w:bookmarkEnd w:id="28"/>
      <w:bookmarkStart w:id="29" w:name="_Toc25362_WPSOffice_Level2"/>
      <w:bookmarkStart w:id="30" w:name="_Toc8373_WPSOffice_Level2"/>
      <w:bookmarkStart w:id="31" w:name="_Toc17283_WPSOffice_Level2"/>
      <w:bookmarkStart w:id="32" w:name="_Toc17833_WPSOffice_Level2"/>
      <w:bookmarkStart w:id="33" w:name="_Toc2632_WPSOffice_Level2"/>
      <w:bookmarkStart w:id="34" w:name="_Toc5343_WPSOffice_Level2"/>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六、一般公共预算财政拨款基本支出决算</w:t>
      </w:r>
      <w:bookmarkEnd w:id="29"/>
      <w:bookmarkEnd w:id="30"/>
      <w:bookmarkEnd w:id="31"/>
      <w:bookmarkEnd w:id="32"/>
      <w:bookmarkEnd w:id="33"/>
      <w:bookmarkEnd w:id="34"/>
      <w:r>
        <w:rPr>
          <w:rFonts w:hint="eastAsia" w:ascii="黑体" w:hAnsi="黑体" w:eastAsia="黑体" w:cs="黑体"/>
          <w:color w:val="000000"/>
          <w:sz w:val="32"/>
          <w:szCs w:val="32"/>
          <w:highlight w:val="none"/>
        </w:rPr>
        <w:t>公开表</w:t>
      </w:r>
    </w:p>
    <w:p>
      <w:pPr>
        <w:keepNext w:val="0"/>
        <w:keepLines w:val="0"/>
        <w:pageBreakBefore w:val="0"/>
        <w:kinsoku/>
        <w:wordWrap/>
        <w:overflowPunct/>
        <w:topLinePunct w:val="0"/>
        <w:autoSpaceDE/>
        <w:autoSpaceDN/>
        <w:bidi w:val="0"/>
        <w:adjustRightInd/>
        <w:snapToGrid/>
        <w:spacing w:line="560" w:lineRule="exact"/>
        <w:ind w:left="1118" w:leftChars="304" w:hanging="480" w:hangingChars="150"/>
        <w:textAlignment w:val="auto"/>
        <w:rPr>
          <w:rFonts w:hint="eastAsia" w:ascii="黑体" w:hAnsi="黑体" w:eastAsia="黑体" w:cs="黑体"/>
          <w:color w:val="000000"/>
          <w:sz w:val="32"/>
          <w:szCs w:val="32"/>
          <w:highlight w:val="none"/>
        </w:rPr>
      </w:pPr>
      <w:bookmarkStart w:id="35" w:name="_Toc6020_WPSOffice_Level2"/>
      <w:bookmarkStart w:id="36" w:name="_Toc13345_WPSOffice_Level2"/>
      <w:bookmarkStart w:id="37" w:name="_Toc11799_WPSOffice_Level2"/>
      <w:bookmarkStart w:id="38" w:name="_Toc1533_WPSOffice_Level2"/>
      <w:bookmarkStart w:id="39" w:name="_Toc5594_WPSOffice_Level2"/>
      <w:bookmarkStart w:id="40" w:name="_Toc21310_WPSOffice_Level2"/>
      <w:r>
        <w:rPr>
          <w:rFonts w:hint="eastAsia" w:ascii="黑体" w:hAnsi="黑体" w:eastAsia="黑体" w:cs="黑体"/>
          <w:color w:val="000000"/>
          <w:sz w:val="32"/>
          <w:szCs w:val="32"/>
          <w:highlight w:val="none"/>
        </w:rPr>
        <w:t>七、政府性基金预算财政拨款收入支出决算</w:t>
      </w:r>
      <w:bookmarkEnd w:id="35"/>
      <w:bookmarkEnd w:id="36"/>
      <w:bookmarkEnd w:id="37"/>
      <w:bookmarkEnd w:id="38"/>
      <w:bookmarkEnd w:id="39"/>
      <w:bookmarkEnd w:id="40"/>
      <w:r>
        <w:rPr>
          <w:rFonts w:hint="eastAsia" w:ascii="黑体" w:hAnsi="黑体" w:eastAsia="黑体" w:cs="黑体"/>
          <w:color w:val="000000"/>
          <w:sz w:val="32"/>
          <w:szCs w:val="32"/>
          <w:highlight w:val="none"/>
        </w:rPr>
        <w:t>公开表</w:t>
      </w:r>
    </w:p>
    <w:p>
      <w:pPr>
        <w:keepNext w:val="0"/>
        <w:keepLines w:val="0"/>
        <w:pageBreakBefore w:val="0"/>
        <w:kinsoku/>
        <w:wordWrap/>
        <w:overflowPunct/>
        <w:topLinePunct w:val="0"/>
        <w:autoSpaceDE/>
        <w:autoSpaceDN/>
        <w:bidi w:val="0"/>
        <w:adjustRightInd/>
        <w:snapToGrid/>
        <w:spacing w:line="560" w:lineRule="exact"/>
        <w:ind w:left="1118" w:leftChars="304" w:hanging="480" w:hangingChars="15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八、国有资本经营预算财政拨款收入支出决算公开表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000000"/>
          <w:sz w:val="32"/>
          <w:szCs w:val="32"/>
          <w:highlight w:val="none"/>
        </w:rPr>
      </w:pPr>
      <w:bookmarkStart w:id="41" w:name="_Toc1820_WPSOffice_Level2"/>
      <w:bookmarkStart w:id="42" w:name="_Toc19961_WPSOffice_Level2"/>
      <w:bookmarkStart w:id="43" w:name="_Toc29886_WPSOffice_Level2"/>
      <w:bookmarkStart w:id="44" w:name="_Toc9377_WPSOffice_Level2"/>
      <w:r>
        <w:rPr>
          <w:rFonts w:hint="eastAsia" w:ascii="黑体" w:hAnsi="黑体" w:eastAsia="黑体" w:cs="黑体"/>
          <w:color w:val="000000"/>
          <w:sz w:val="32"/>
          <w:szCs w:val="32"/>
          <w:highlight w:val="none"/>
        </w:rPr>
        <w:t>九、财政拨款“三公”经费支出决算</w:t>
      </w:r>
      <w:bookmarkEnd w:id="41"/>
      <w:bookmarkEnd w:id="42"/>
      <w:bookmarkEnd w:id="43"/>
      <w:bookmarkEnd w:id="44"/>
      <w:r>
        <w:rPr>
          <w:rFonts w:hint="eastAsia" w:ascii="黑体" w:hAnsi="黑体" w:eastAsia="黑体" w:cs="黑体"/>
          <w:color w:val="000000"/>
          <w:sz w:val="32"/>
          <w:szCs w:val="32"/>
          <w:highlight w:val="none"/>
        </w:rPr>
        <w:t>公开表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000000"/>
          <w:sz w:val="32"/>
          <w:szCs w:val="32"/>
          <w:highlight w:val="none"/>
        </w:rPr>
      </w:pPr>
      <w:r>
        <w:rPr>
          <w:rFonts w:hint="eastAsia" w:ascii="黑体" w:hAnsi="黑体" w:eastAsia="黑体" w:cs="黑体"/>
          <w:color w:val="000000"/>
          <w:w w:val="96"/>
          <w:sz w:val="32"/>
          <w:szCs w:val="32"/>
          <w:highlight w:val="none"/>
        </w:rPr>
        <w:t>以上报表见附件</w:t>
      </w:r>
      <w:r>
        <w:rPr>
          <w:rFonts w:hint="eastAsia" w:ascii="黑体" w:hAnsi="黑体" w:eastAsia="黑体" w:cs="黑体"/>
          <w:color w:val="000000"/>
          <w:w w:val="96"/>
          <w:sz w:val="32"/>
          <w:szCs w:val="32"/>
          <w:highlight w:val="none"/>
          <w:lang w:val="en-US" w:eastAsia="zh-CN"/>
        </w:rPr>
        <w:t>1</w:t>
      </w:r>
      <w:r>
        <w:rPr>
          <w:rFonts w:hint="eastAsia" w:ascii="黑体" w:hAnsi="黑体" w:eastAsia="黑体" w:cs="黑体"/>
          <w:color w:val="000000"/>
          <w:w w:val="96"/>
          <w:sz w:val="32"/>
          <w:szCs w:val="32"/>
          <w:highlight w:val="none"/>
        </w:rPr>
        <w:t xml:space="preserve">。   </w:t>
      </w:r>
    </w:p>
    <w:p>
      <w:pPr>
        <w:ind w:firstLine="480" w:firstLineChars="150"/>
        <w:rPr>
          <w:rFonts w:hint="eastAsia" w:ascii="黑体" w:hAnsi="黑体" w:eastAsia="黑体"/>
          <w:sz w:val="32"/>
          <w:szCs w:val="32"/>
        </w:rPr>
      </w:pPr>
      <w:r>
        <w:rPr>
          <w:rFonts w:hint="eastAsia" w:ascii="黑体" w:hAnsi="黑体" w:eastAsia="黑体"/>
          <w:sz w:val="32"/>
          <w:szCs w:val="32"/>
        </w:rPr>
        <w:t>第三部分   三亚市立才学校2023年单位预算情况说明</w:t>
      </w:r>
    </w:p>
    <w:p>
      <w:pPr>
        <w:ind w:firstLine="640" w:firstLineChars="200"/>
        <w:jc w:val="left"/>
        <w:rPr>
          <w:rFonts w:hint="eastAsia" w:ascii="黑体" w:hAnsi="黑体" w:eastAsia="黑体"/>
          <w:sz w:val="32"/>
          <w:szCs w:val="32"/>
        </w:rPr>
      </w:pPr>
      <w:r>
        <w:rPr>
          <w:rFonts w:hint="eastAsia" w:ascii="黑体" w:hAnsi="黑体" w:eastAsia="黑体"/>
          <w:sz w:val="32"/>
          <w:szCs w:val="32"/>
        </w:rPr>
        <w:t>一、关于三亚市立才学校2023年财政拨款收支预算情况的总体说明</w:t>
      </w:r>
    </w:p>
    <w:p>
      <w:pPr>
        <w:ind w:firstLine="640" w:firstLineChars="200"/>
        <w:jc w:val="left"/>
        <w:rPr>
          <w:rFonts w:hint="eastAsia" w:ascii="仿宋" w:hAnsi="仿宋" w:eastAsia="仿宋"/>
          <w:sz w:val="32"/>
          <w:szCs w:val="32"/>
        </w:rPr>
      </w:pPr>
      <w:r>
        <w:rPr>
          <w:rFonts w:hint="eastAsia" w:ascii="仿宋" w:hAnsi="仿宋" w:eastAsia="仿宋"/>
          <w:sz w:val="32"/>
          <w:szCs w:val="32"/>
        </w:rPr>
        <w:t>三亚市立才学校年财政拨款收支总预算</w:t>
      </w:r>
      <w:r>
        <w:rPr>
          <w:rFonts w:hint="eastAsia" w:ascii="仿宋" w:hAnsi="仿宋" w:eastAsia="仿宋" w:cs="仿宋_GB2312"/>
          <w:sz w:val="32"/>
          <w:szCs w:val="32"/>
        </w:rPr>
        <w:t>2996.99</w:t>
      </w:r>
      <w:r>
        <w:rPr>
          <w:rFonts w:hint="eastAsia" w:ascii="仿宋" w:hAnsi="仿宋" w:eastAsia="仿宋"/>
          <w:sz w:val="32"/>
          <w:szCs w:val="32"/>
        </w:rPr>
        <w:t>万元。其中，收入总计</w:t>
      </w:r>
      <w:r>
        <w:rPr>
          <w:rFonts w:hint="eastAsia" w:ascii="仿宋" w:hAnsi="仿宋" w:eastAsia="仿宋" w:cs="仿宋_GB2312"/>
          <w:sz w:val="32"/>
          <w:szCs w:val="32"/>
        </w:rPr>
        <w:t>299</w:t>
      </w:r>
      <w:bookmarkStart w:id="45" w:name="_GoBack"/>
      <w:bookmarkEnd w:id="45"/>
      <w:r>
        <w:rPr>
          <w:rFonts w:hint="eastAsia" w:ascii="仿宋" w:hAnsi="仿宋" w:eastAsia="仿宋" w:cs="仿宋_GB2312"/>
          <w:sz w:val="32"/>
          <w:szCs w:val="32"/>
        </w:rPr>
        <w:t>6.99</w:t>
      </w:r>
      <w:r>
        <w:rPr>
          <w:rFonts w:hint="eastAsia" w:ascii="仿宋" w:hAnsi="仿宋" w:eastAsia="仿宋"/>
          <w:sz w:val="32"/>
          <w:szCs w:val="32"/>
        </w:rPr>
        <w:t>万元，包括一般公共预算本年收入</w:t>
      </w:r>
      <w:r>
        <w:rPr>
          <w:rFonts w:hint="eastAsia" w:ascii="仿宋" w:hAnsi="仿宋" w:eastAsia="仿宋" w:cs="仿宋_GB2312"/>
          <w:sz w:val="32"/>
          <w:szCs w:val="32"/>
        </w:rPr>
        <w:t>2996.99</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_GB2312" w:hAnsi="黑体" w:eastAsia="仿宋_GB2312"/>
          <w:sz w:val="32"/>
          <w:szCs w:val="32"/>
        </w:rPr>
        <w:t>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w:t>
      </w:r>
      <w:r>
        <w:rPr>
          <w:rFonts w:hint="eastAsia" w:ascii="仿宋" w:hAnsi="仿宋" w:eastAsia="仿宋"/>
          <w:sz w:val="32"/>
          <w:szCs w:val="32"/>
        </w:rPr>
        <w:t>；支出总计</w:t>
      </w:r>
      <w:r>
        <w:rPr>
          <w:rFonts w:hint="eastAsia" w:ascii="仿宋" w:hAnsi="仿宋" w:eastAsia="仿宋" w:cs="仿宋_GB2312"/>
          <w:sz w:val="32"/>
          <w:szCs w:val="32"/>
        </w:rPr>
        <w:t>2996.99</w:t>
      </w:r>
      <w:r>
        <w:rPr>
          <w:rFonts w:hint="eastAsia" w:ascii="仿宋" w:hAnsi="仿宋" w:eastAsia="仿宋"/>
          <w:sz w:val="32"/>
          <w:szCs w:val="32"/>
        </w:rPr>
        <w:t>万元，包括教育支出1892.3万元、社会保障和就业支出631.47万元、卫生健康支出301.96万元、住房保障支出171.26万元</w:t>
      </w:r>
      <w:r>
        <w:rPr>
          <w:rFonts w:hint="eastAsia" w:ascii="仿宋" w:hAnsi="仿宋" w:eastAsia="仿宋"/>
          <w:sz w:val="32"/>
          <w:szCs w:val="32"/>
          <w:lang w:eastAsia="zh-CN"/>
        </w:rPr>
        <w:t>，</w:t>
      </w:r>
      <w:r>
        <w:rPr>
          <w:rFonts w:hint="eastAsia" w:ascii="仿宋_GB2312" w:hAnsi="黑体" w:eastAsia="仿宋_GB2312"/>
          <w:sz w:val="32"/>
          <w:szCs w:val="32"/>
        </w:rPr>
        <w:t>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仿宋" w:hAnsi="仿宋" w:eastAsia="仿宋"/>
          <w:sz w:val="32"/>
          <w:szCs w:val="32"/>
        </w:rPr>
        <w:t>。</w:t>
      </w:r>
    </w:p>
    <w:p>
      <w:pPr>
        <w:ind w:firstLine="640"/>
        <w:jc w:val="left"/>
        <w:rPr>
          <w:rFonts w:ascii="黑体" w:hAnsi="黑体" w:eastAsia="黑体"/>
          <w:sz w:val="32"/>
          <w:szCs w:val="32"/>
        </w:rPr>
      </w:pPr>
      <w:r>
        <w:rPr>
          <w:rFonts w:hint="eastAsia" w:ascii="黑体" w:hAnsi="黑体" w:eastAsia="黑体"/>
          <w:sz w:val="32"/>
          <w:szCs w:val="32"/>
        </w:rPr>
        <w:t>二、关于三亚市立才学校2023年单位一般公共预算当年拨款情况说明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 w:hAnsi="仿宋" w:eastAsia="仿宋"/>
          <w:sz w:val="32"/>
          <w:szCs w:val="32"/>
        </w:rPr>
      </w:pPr>
      <w:r>
        <w:rPr>
          <w:rFonts w:hint="eastAsia" w:ascii="仿宋" w:hAnsi="仿宋" w:eastAsia="仿宋"/>
          <w:sz w:val="32"/>
          <w:szCs w:val="32"/>
        </w:rPr>
        <w:t>三亚市立才学校2023年一般公共预算当年拨款</w:t>
      </w:r>
      <w:r>
        <w:rPr>
          <w:rFonts w:hint="eastAsia" w:ascii="仿宋" w:hAnsi="仿宋" w:eastAsia="仿宋" w:cs="仿宋_GB2312"/>
          <w:sz w:val="32"/>
          <w:szCs w:val="32"/>
        </w:rPr>
        <w:t>2996.99</w:t>
      </w:r>
      <w:r>
        <w:rPr>
          <w:rFonts w:hint="eastAsia" w:ascii="仿宋" w:hAnsi="仿宋" w:eastAsia="仿宋"/>
          <w:sz w:val="32"/>
          <w:szCs w:val="32"/>
        </w:rPr>
        <w:t>万元，比上年预算数</w:t>
      </w:r>
      <w:r>
        <w:rPr>
          <w:rFonts w:hint="eastAsia" w:ascii="仿宋" w:hAnsi="仿宋" w:eastAsia="仿宋" w:cs="仿宋_GB2312"/>
          <w:sz w:val="32"/>
          <w:szCs w:val="32"/>
        </w:rPr>
        <w:t>增加1193.24</w:t>
      </w:r>
      <w:r>
        <w:rPr>
          <w:rFonts w:hint="eastAsia" w:ascii="仿宋" w:hAnsi="仿宋" w:eastAsia="仿宋"/>
          <w:sz w:val="32"/>
          <w:szCs w:val="32"/>
        </w:rPr>
        <w:t>万元，主要是教育支出增加614.51万元；社会保障和就业支出增加442.13万元；卫生健康支出增加67.23万元；住房保障支出增加69.36万元。</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 w:hAnsi="仿宋" w:eastAsia="仿宋"/>
          <w:sz w:val="32"/>
          <w:szCs w:val="32"/>
        </w:rPr>
      </w:pPr>
      <w:r>
        <w:rPr>
          <w:rFonts w:hint="eastAsia" w:ascii="仿宋" w:hAnsi="仿宋" w:eastAsia="仿宋"/>
          <w:sz w:val="32"/>
          <w:szCs w:val="32"/>
        </w:rPr>
        <w:t>教育支出1892.3万元，占</w:t>
      </w:r>
      <w:r>
        <w:rPr>
          <w:rFonts w:hint="eastAsia" w:ascii="仿宋" w:hAnsi="仿宋" w:eastAsia="仿宋" w:cs="仿宋_GB2312"/>
          <w:sz w:val="32"/>
          <w:szCs w:val="32"/>
        </w:rPr>
        <w:t>63.14</w:t>
      </w:r>
      <w:r>
        <w:rPr>
          <w:rFonts w:hint="eastAsia" w:ascii="仿宋" w:hAnsi="仿宋" w:eastAsia="仿宋"/>
          <w:sz w:val="32"/>
          <w:szCs w:val="32"/>
        </w:rPr>
        <w:t>%；社会保障和就业支出631.47万元，占21.07%；卫生健康支出301.96万元，占10.08%；住房保障支出171.26万元，占5.71%。</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 w:hAnsi="仿宋" w:eastAsia="仿宋"/>
          <w:sz w:val="32"/>
          <w:szCs w:val="32"/>
        </w:rPr>
      </w:pPr>
      <w:r>
        <w:rPr>
          <w:rFonts w:hint="eastAsia" w:ascii="仿宋" w:hAnsi="仿宋" w:eastAsia="仿宋" w:cs="仿宋_GB2312"/>
          <w:sz w:val="32"/>
          <w:szCs w:val="32"/>
        </w:rPr>
        <w:t>1.教育支出（类）普通教育（款）初中教育（项）2023</w:t>
      </w:r>
      <w:r>
        <w:rPr>
          <w:rFonts w:hint="eastAsia" w:ascii="仿宋" w:hAnsi="仿宋" w:eastAsia="仿宋"/>
          <w:sz w:val="32"/>
          <w:szCs w:val="32"/>
        </w:rPr>
        <w:t>年预算数为</w:t>
      </w:r>
      <w:r>
        <w:rPr>
          <w:rFonts w:hint="eastAsia" w:ascii="仿宋" w:hAnsi="仿宋" w:eastAsia="仿宋" w:cs="仿宋_GB2312"/>
          <w:sz w:val="32"/>
          <w:szCs w:val="32"/>
        </w:rPr>
        <w:t>1841.18</w:t>
      </w:r>
      <w:r>
        <w:rPr>
          <w:rFonts w:hint="eastAsia" w:ascii="仿宋" w:hAnsi="仿宋" w:eastAsia="仿宋"/>
          <w:sz w:val="32"/>
          <w:szCs w:val="32"/>
        </w:rPr>
        <w:t>万元，比上年预算数</w:t>
      </w:r>
      <w:r>
        <w:rPr>
          <w:rFonts w:hint="eastAsia" w:ascii="仿宋" w:hAnsi="仿宋" w:eastAsia="仿宋" w:cs="仿宋_GB2312"/>
          <w:sz w:val="32"/>
          <w:szCs w:val="32"/>
        </w:rPr>
        <w:t>增加563.39</w:t>
      </w:r>
      <w:r>
        <w:rPr>
          <w:rFonts w:hint="eastAsia" w:ascii="仿宋" w:hAnsi="仿宋" w:eastAsia="仿宋"/>
          <w:sz w:val="32"/>
          <w:szCs w:val="32"/>
        </w:rPr>
        <w:t>万元；</w:t>
      </w:r>
      <w:r>
        <w:rPr>
          <w:rFonts w:hint="eastAsia" w:ascii="仿宋" w:hAnsi="仿宋" w:eastAsia="仿宋" w:cs="仿宋_GB2312"/>
          <w:sz w:val="32"/>
          <w:szCs w:val="32"/>
        </w:rPr>
        <w:t>教育支出（类）普通教育（款）小学教育（项）2023</w:t>
      </w:r>
      <w:r>
        <w:rPr>
          <w:rFonts w:hint="eastAsia" w:ascii="仿宋" w:hAnsi="仿宋" w:eastAsia="仿宋"/>
          <w:sz w:val="32"/>
          <w:szCs w:val="32"/>
        </w:rPr>
        <w:t>年预算数为</w:t>
      </w:r>
      <w:r>
        <w:rPr>
          <w:rFonts w:hint="eastAsia" w:ascii="仿宋" w:hAnsi="仿宋" w:eastAsia="仿宋" w:cs="仿宋_GB2312"/>
          <w:sz w:val="32"/>
          <w:szCs w:val="32"/>
        </w:rPr>
        <w:t>51.12</w:t>
      </w:r>
      <w:r>
        <w:rPr>
          <w:rFonts w:hint="eastAsia" w:ascii="仿宋" w:hAnsi="仿宋" w:eastAsia="仿宋"/>
          <w:sz w:val="32"/>
          <w:szCs w:val="32"/>
        </w:rPr>
        <w:t>万元，比上年预算数</w:t>
      </w:r>
      <w:r>
        <w:rPr>
          <w:rFonts w:hint="eastAsia" w:ascii="仿宋" w:hAnsi="仿宋" w:eastAsia="仿宋" w:cs="仿宋_GB2312"/>
          <w:sz w:val="32"/>
          <w:szCs w:val="32"/>
        </w:rPr>
        <w:t>增加51.12</w:t>
      </w:r>
      <w:r>
        <w:rPr>
          <w:rFonts w:hint="eastAsia" w:ascii="仿宋" w:hAnsi="仿宋" w:eastAsia="仿宋"/>
          <w:sz w:val="32"/>
          <w:szCs w:val="32"/>
        </w:rPr>
        <w:t>万元。去年我校没有做班主任，保安、校医、厨工等经费（由教科卫健局统一做），今年全部放在我校项目支出，导致增加幅度较大。</w:t>
      </w:r>
    </w:p>
    <w:p>
      <w:pPr>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rPr>
        <w:t xml:space="preserve"> </w:t>
      </w:r>
      <w:r>
        <w:rPr>
          <w:rFonts w:hint="eastAsia" w:ascii="仿宋" w:hAnsi="仿宋" w:eastAsia="仿宋" w:cs="仿宋_GB2312"/>
          <w:sz w:val="32"/>
          <w:szCs w:val="32"/>
        </w:rPr>
        <w:t>社会保障和就业支出（类）行政事业单位养老支出（款）中的机关事业单位基本养老保险缴费支出（项）2023</w:t>
      </w:r>
      <w:r>
        <w:rPr>
          <w:rFonts w:hint="eastAsia" w:ascii="仿宋" w:hAnsi="仿宋" w:eastAsia="仿宋"/>
          <w:sz w:val="32"/>
          <w:szCs w:val="32"/>
        </w:rPr>
        <w:t>年预算数为140.02万元，比上年预算增加8.6万元，主要是养老基数增高导致人员经费支出增加</w:t>
      </w:r>
    </w:p>
    <w:p>
      <w:pPr>
        <w:ind w:firstLine="640" w:firstLineChars="200"/>
        <w:rPr>
          <w:rFonts w:hint="eastAsia" w:ascii="仿宋" w:hAnsi="仿宋" w:eastAsia="仿宋"/>
          <w:sz w:val="32"/>
          <w:szCs w:val="32"/>
        </w:rPr>
      </w:pPr>
      <w:r>
        <w:rPr>
          <w:rFonts w:hint="eastAsia" w:ascii="仿宋" w:hAnsi="仿宋" w:eastAsia="仿宋" w:cs="仿宋_GB2312"/>
          <w:sz w:val="32"/>
          <w:szCs w:val="32"/>
        </w:rPr>
        <w:t>3.社会保障和就业支出（类）行政事业单位养老支出（款）中的机关事业单位职业年金缴费支出（项）2023</w:t>
      </w:r>
      <w:r>
        <w:rPr>
          <w:rFonts w:hint="eastAsia" w:ascii="仿宋" w:hAnsi="仿宋" w:eastAsia="仿宋"/>
          <w:sz w:val="32"/>
          <w:szCs w:val="32"/>
        </w:rPr>
        <w:t>年预算数为489.29万元，比上年预算增加433.29万元，主要是补缴单位部分职业年金。</w:t>
      </w:r>
    </w:p>
    <w:p>
      <w:pPr>
        <w:ind w:firstLine="640" w:firstLineChars="200"/>
        <w:rPr>
          <w:rFonts w:hint="eastAsia" w:ascii="仿宋" w:hAnsi="仿宋" w:eastAsia="仿宋"/>
          <w:sz w:val="32"/>
          <w:szCs w:val="32"/>
        </w:rPr>
      </w:pPr>
      <w:r>
        <w:rPr>
          <w:rFonts w:hint="eastAsia" w:ascii="仿宋" w:hAnsi="仿宋" w:eastAsia="仿宋"/>
          <w:sz w:val="32"/>
          <w:szCs w:val="32"/>
        </w:rPr>
        <w:t>4.</w:t>
      </w:r>
      <w:r>
        <w:rPr>
          <w:rFonts w:hint="eastAsia" w:ascii="仿宋" w:hAnsi="仿宋" w:eastAsia="仿宋" w:cs="仿宋_GB2312"/>
          <w:sz w:val="32"/>
          <w:szCs w:val="32"/>
        </w:rPr>
        <w:t>社会保障和就业支出（类）行政事业单位养老支出（款）中的</w:t>
      </w:r>
      <w:r>
        <w:rPr>
          <w:rFonts w:hint="eastAsia" w:ascii="仿宋" w:hAnsi="仿宋" w:eastAsia="仿宋"/>
          <w:sz w:val="32"/>
          <w:szCs w:val="32"/>
        </w:rPr>
        <w:t>其他优抚支出</w:t>
      </w:r>
      <w:r>
        <w:rPr>
          <w:rFonts w:hint="eastAsia" w:ascii="仿宋" w:hAnsi="仿宋" w:eastAsia="仿宋" w:cs="仿宋_GB2312"/>
          <w:sz w:val="32"/>
          <w:szCs w:val="32"/>
        </w:rPr>
        <w:t>（项）2023</w:t>
      </w:r>
      <w:r>
        <w:rPr>
          <w:rFonts w:hint="eastAsia" w:ascii="仿宋" w:hAnsi="仿宋" w:eastAsia="仿宋"/>
          <w:sz w:val="32"/>
          <w:szCs w:val="32"/>
        </w:rPr>
        <w:t>年预算数为2.16万元，比上年预算增加0.24万元，主要是优抚标准提高。</w:t>
      </w:r>
    </w:p>
    <w:p>
      <w:pPr>
        <w:ind w:firstLine="640" w:firstLineChars="200"/>
        <w:rPr>
          <w:rFonts w:hint="eastAsia" w:ascii="仿宋" w:hAnsi="仿宋" w:eastAsia="仿宋"/>
          <w:sz w:val="32"/>
          <w:szCs w:val="32"/>
        </w:rPr>
      </w:pPr>
      <w:r>
        <w:rPr>
          <w:rFonts w:hint="eastAsia" w:ascii="仿宋" w:hAnsi="仿宋" w:eastAsia="仿宋"/>
          <w:sz w:val="32"/>
          <w:szCs w:val="32"/>
        </w:rPr>
        <w:t>5.</w:t>
      </w:r>
      <w:r>
        <w:rPr>
          <w:rFonts w:hint="eastAsia"/>
        </w:rPr>
        <w:t xml:space="preserve"> </w:t>
      </w:r>
      <w:r>
        <w:rPr>
          <w:rFonts w:hint="eastAsia" w:ascii="仿宋" w:hAnsi="仿宋" w:eastAsia="仿宋" w:cs="仿宋_GB2312"/>
          <w:sz w:val="32"/>
          <w:szCs w:val="32"/>
        </w:rPr>
        <w:t>卫生健康支出（类）行政事业单位医疗（款）事业单位医疗（项）2023</w:t>
      </w:r>
      <w:r>
        <w:rPr>
          <w:rFonts w:hint="eastAsia" w:ascii="仿宋" w:hAnsi="仿宋" w:eastAsia="仿宋"/>
          <w:sz w:val="32"/>
          <w:szCs w:val="32"/>
        </w:rPr>
        <w:t>年预算数为63.74万元，比上年度减少6.08万元，主要是在编人员减少，医疗基数下降。</w:t>
      </w:r>
    </w:p>
    <w:p>
      <w:pPr>
        <w:ind w:firstLine="640" w:firstLineChars="200"/>
        <w:rPr>
          <w:rFonts w:hint="eastAsia" w:ascii="仿宋" w:hAnsi="仿宋" w:eastAsia="仿宋"/>
          <w:sz w:val="32"/>
          <w:szCs w:val="32"/>
        </w:rPr>
      </w:pPr>
      <w:r>
        <w:rPr>
          <w:rFonts w:hint="eastAsia" w:ascii="仿宋" w:hAnsi="仿宋" w:eastAsia="仿宋"/>
          <w:sz w:val="32"/>
          <w:szCs w:val="32"/>
        </w:rPr>
        <w:t>6.</w:t>
      </w:r>
      <w:r>
        <w:rPr>
          <w:rFonts w:hint="eastAsia" w:ascii="仿宋" w:hAnsi="仿宋" w:eastAsia="仿宋" w:cs="仿宋_GB2312"/>
          <w:sz w:val="32"/>
          <w:szCs w:val="32"/>
        </w:rPr>
        <w:t>卫生健康支出（类）行政事业单位医疗（款）公务员医疗补助（项）2023</w:t>
      </w:r>
      <w:r>
        <w:rPr>
          <w:rFonts w:hint="eastAsia" w:ascii="仿宋" w:hAnsi="仿宋" w:eastAsia="仿宋"/>
          <w:sz w:val="32"/>
          <w:szCs w:val="32"/>
        </w:rPr>
        <w:t>年预算数为238.22万元，比上年度增加73.31万元。主要是退休人员过多，导致公务员补助增多。</w:t>
      </w:r>
    </w:p>
    <w:p>
      <w:pPr>
        <w:ind w:firstLine="640" w:firstLineChars="200"/>
        <w:rPr>
          <w:rFonts w:hint="eastAsia" w:ascii="仿宋" w:hAnsi="仿宋" w:eastAsia="仿宋"/>
          <w:sz w:val="32"/>
          <w:szCs w:val="32"/>
        </w:rPr>
      </w:pPr>
      <w:r>
        <w:rPr>
          <w:rFonts w:hint="eastAsia" w:ascii="仿宋" w:hAnsi="仿宋" w:eastAsia="仿宋"/>
          <w:sz w:val="32"/>
          <w:szCs w:val="32"/>
        </w:rPr>
        <w:t>7.</w:t>
      </w:r>
      <w:r>
        <w:rPr>
          <w:rFonts w:hint="eastAsia"/>
        </w:rPr>
        <w:t xml:space="preserve"> </w:t>
      </w:r>
      <w:r>
        <w:rPr>
          <w:rFonts w:hint="eastAsia" w:ascii="仿宋" w:hAnsi="仿宋" w:eastAsia="仿宋" w:cs="仿宋_GB2312"/>
          <w:sz w:val="32"/>
          <w:szCs w:val="32"/>
        </w:rPr>
        <w:t>住房保障支出（类）住房改革支出（款）住房公积金（项）2023</w:t>
      </w:r>
      <w:r>
        <w:rPr>
          <w:rFonts w:hint="eastAsia" w:ascii="仿宋" w:hAnsi="仿宋" w:eastAsia="仿宋"/>
          <w:sz w:val="32"/>
          <w:szCs w:val="32"/>
        </w:rPr>
        <w:t>年预算数为171.26万元，比上年度增加69.36万元。主要是今年公积金基数增高导致人员经费增加。</w:t>
      </w:r>
    </w:p>
    <w:p>
      <w:pPr>
        <w:ind w:firstLine="640" w:firstLineChars="200"/>
        <w:rPr>
          <w:rFonts w:ascii="黑体" w:hAnsi="黑体" w:eastAsia="黑体"/>
          <w:sz w:val="32"/>
          <w:szCs w:val="32"/>
        </w:rPr>
      </w:pPr>
      <w:r>
        <w:rPr>
          <w:rFonts w:hint="eastAsia" w:ascii="黑体" w:hAnsi="黑体" w:eastAsia="黑体"/>
          <w:sz w:val="32"/>
          <w:szCs w:val="32"/>
        </w:rPr>
        <w:t>三、关于三亚市立才学校2023年单位一般公共预算基本支出情况说明</w:t>
      </w:r>
    </w:p>
    <w:p>
      <w:pPr>
        <w:ind w:firstLine="640" w:firstLineChars="200"/>
        <w:rPr>
          <w:rFonts w:ascii="仿宋" w:hAnsi="仿宋" w:eastAsia="仿宋"/>
          <w:sz w:val="32"/>
          <w:szCs w:val="32"/>
        </w:rPr>
      </w:pPr>
      <w:r>
        <w:rPr>
          <w:rFonts w:hint="eastAsia" w:ascii="仿宋" w:hAnsi="仿宋" w:eastAsia="仿宋"/>
          <w:sz w:val="32"/>
          <w:szCs w:val="32"/>
        </w:rPr>
        <w:t>三亚市立才学校2023年一般公共预算基本支出为</w:t>
      </w:r>
      <w:r>
        <w:rPr>
          <w:rFonts w:hint="eastAsia" w:ascii="仿宋" w:hAnsi="仿宋" w:eastAsia="仿宋" w:cs="仿宋_GB2312"/>
          <w:sz w:val="32"/>
          <w:szCs w:val="32"/>
        </w:rPr>
        <w:t>2677.87</w:t>
      </w:r>
      <w:r>
        <w:rPr>
          <w:rFonts w:hint="eastAsia" w:ascii="仿宋" w:hAnsi="仿宋" w:eastAsia="仿宋"/>
          <w:sz w:val="32"/>
          <w:szCs w:val="32"/>
        </w:rPr>
        <w:t>万元，其中：</w:t>
      </w:r>
    </w:p>
    <w:p>
      <w:pPr>
        <w:ind w:firstLine="640" w:firstLineChars="200"/>
        <w:rPr>
          <w:rFonts w:ascii="仿宋" w:hAnsi="仿宋" w:eastAsia="仿宋"/>
          <w:sz w:val="32"/>
          <w:szCs w:val="32"/>
        </w:rPr>
      </w:pPr>
      <w:r>
        <w:rPr>
          <w:rFonts w:hint="eastAsia" w:ascii="仿宋" w:hAnsi="仿宋" w:eastAsia="仿宋" w:cs="仿宋_GB2312"/>
          <w:sz w:val="32"/>
          <w:szCs w:val="32"/>
        </w:rPr>
        <w:t>人员经费2023</w:t>
      </w:r>
      <w:r>
        <w:rPr>
          <w:rFonts w:hint="eastAsia" w:ascii="仿宋" w:hAnsi="仿宋" w:eastAsia="仿宋"/>
          <w:sz w:val="32"/>
          <w:szCs w:val="32"/>
        </w:rPr>
        <w:t>年预算数为2590.46万元。主要包括：基本工资、津贴补贴、绩效工资、社会保障缴费、住房公积金、邮电费;</w:t>
      </w:r>
    </w:p>
    <w:p>
      <w:pPr>
        <w:ind w:firstLine="640" w:firstLineChars="200"/>
        <w:rPr>
          <w:rFonts w:ascii="仿宋" w:hAnsi="仿宋" w:eastAsia="仿宋"/>
          <w:sz w:val="32"/>
          <w:szCs w:val="32"/>
        </w:rPr>
      </w:pPr>
      <w:r>
        <w:rPr>
          <w:rFonts w:hint="eastAsia" w:ascii="仿宋" w:hAnsi="仿宋" w:eastAsia="仿宋" w:cs="仿宋_GB2312"/>
          <w:sz w:val="32"/>
          <w:szCs w:val="32"/>
        </w:rPr>
        <w:t>公用经费2023</w:t>
      </w:r>
      <w:r>
        <w:rPr>
          <w:rFonts w:hint="eastAsia" w:ascii="仿宋" w:hAnsi="仿宋" w:eastAsia="仿宋"/>
          <w:sz w:val="32"/>
          <w:szCs w:val="32"/>
        </w:rPr>
        <w:t>年预算数为87.41万元；主要包括：办公费、工会经费、福利费、其他商品和服务支出经费。</w:t>
      </w:r>
    </w:p>
    <w:p>
      <w:pPr>
        <w:ind w:firstLine="640" w:firstLineChars="2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四、三亚市立才学校2023</w:t>
      </w:r>
      <w:r>
        <w:rPr>
          <w:rFonts w:ascii="黑体" w:hAnsi="黑体" w:eastAsia="黑体" w:cs="Times New Roman"/>
          <w:sz w:val="32"/>
          <w:szCs w:val="32"/>
          <w:shd w:val="clear" w:color="auto" w:fill="FFFFFF"/>
        </w:rPr>
        <w:t>年“三公”经费预算情况</w:t>
      </w:r>
      <w:r>
        <w:rPr>
          <w:rFonts w:hint="eastAsia" w:ascii="黑体" w:hAnsi="黑体" w:eastAsia="黑体" w:cs="Times New Roman"/>
          <w:sz w:val="32"/>
          <w:szCs w:val="32"/>
          <w:shd w:val="clear" w:color="auto" w:fill="FFFFFF"/>
        </w:rPr>
        <w:t>说明</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（一）</w:t>
      </w:r>
      <w:r>
        <w:rPr>
          <w:rFonts w:hint="eastAsia" w:ascii="仿宋_GB2312" w:hAnsi="黑体" w:eastAsia="仿宋_GB2312"/>
          <w:color w:val="auto"/>
          <w:sz w:val="32"/>
          <w:szCs w:val="32"/>
          <w:lang w:eastAsia="zh-CN"/>
        </w:rPr>
        <w:t>三亚市</w:t>
      </w:r>
      <w:r>
        <w:rPr>
          <w:rFonts w:hint="eastAsia" w:ascii="仿宋_GB2312" w:hAnsi="黑体" w:eastAsia="仿宋_GB2312"/>
          <w:color w:val="auto"/>
          <w:sz w:val="32"/>
          <w:szCs w:val="32"/>
          <w:lang w:val="en-US" w:eastAsia="zh-CN"/>
        </w:rPr>
        <w:t>立才学校2023</w:t>
      </w:r>
      <w:r>
        <w:rPr>
          <w:rFonts w:hint="eastAsia" w:ascii="仿宋_GB2312" w:hAnsi="黑体" w:eastAsia="仿宋_GB2312"/>
          <w:color w:val="auto"/>
          <w:sz w:val="32"/>
          <w:szCs w:val="32"/>
        </w:rPr>
        <w:t>年一般公共预算“三公”经费预算数为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p>
    <w:p>
      <w:pPr>
        <w:ind w:firstLine="630"/>
        <w:rPr>
          <w:rFonts w:ascii="Times New Roman" w:hAnsi="Times New Roman" w:eastAsia="仿宋_GB2312" w:cs="Times New Roman"/>
          <w:color w:val="auto"/>
          <w:sz w:val="32"/>
          <w:shd w:val="clear" w:color="auto" w:fill="FFFFFF"/>
        </w:rPr>
      </w:pPr>
      <w:r>
        <w:rPr>
          <w:rFonts w:ascii="Times New Roman" w:hAnsi="Times New Roman" w:eastAsia="仿宋_GB2312" w:cs="Times New Roman"/>
          <w:color w:val="auto"/>
          <w:sz w:val="32"/>
          <w:shd w:val="clear" w:color="auto" w:fill="FFFFFF"/>
        </w:rPr>
        <w:t>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年预算持平。公务用车购置及运行费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w:t>
      </w:r>
      <w:r>
        <w:rPr>
          <w:rFonts w:hint="eastAsia" w:ascii="Times New Roman" w:hAnsi="Times New Roman" w:eastAsia="仿宋_GB2312" w:cs="Times New Roman"/>
          <w:color w:val="auto"/>
          <w:sz w:val="32"/>
          <w:shd w:val="clear" w:color="auto" w:fill="FFFFFF"/>
          <w:lang w:eastAsia="zh-CN"/>
        </w:rPr>
        <w:t>维护</w:t>
      </w:r>
      <w:r>
        <w:rPr>
          <w:rFonts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eastAsia="zh-CN"/>
        </w:rPr>
        <w:t>。</w:t>
      </w:r>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eastAsia="zh-CN"/>
        </w:rPr>
        <w:t>。</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（二）</w:t>
      </w:r>
      <w:r>
        <w:rPr>
          <w:rFonts w:hint="eastAsia" w:ascii="仿宋_GB2312" w:hAnsi="黑体" w:eastAsia="仿宋_GB2312"/>
          <w:color w:val="auto"/>
          <w:sz w:val="32"/>
          <w:szCs w:val="32"/>
          <w:lang w:eastAsia="zh-CN"/>
        </w:rPr>
        <w:t>三亚市</w:t>
      </w:r>
      <w:r>
        <w:rPr>
          <w:rFonts w:hint="eastAsia" w:ascii="仿宋_GB2312" w:hAnsi="黑体" w:eastAsia="仿宋_GB2312"/>
          <w:color w:val="auto"/>
          <w:sz w:val="32"/>
          <w:szCs w:val="32"/>
          <w:lang w:val="en-US" w:eastAsia="zh-CN"/>
        </w:rPr>
        <w:t>立才学校2023</w:t>
      </w:r>
      <w:r>
        <w:rPr>
          <w:rFonts w:hint="eastAsia" w:ascii="仿宋_GB2312" w:hAnsi="黑体" w:eastAsia="仿宋_GB2312"/>
          <w:color w:val="auto"/>
          <w:sz w:val="32"/>
          <w:szCs w:val="32"/>
        </w:rPr>
        <w:t>年政府性基金预算“三公”经费预算数为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p>
    <w:p>
      <w:pPr>
        <w:rPr>
          <w:rFonts w:ascii="Times New Roman" w:hAnsi="Times New Roman" w:eastAsia="仿宋_GB2312" w:cs="Times New Roman"/>
          <w:color w:val="auto"/>
          <w:sz w:val="32"/>
          <w:shd w:val="clear" w:color="auto" w:fill="FFFFFF"/>
        </w:rPr>
      </w:pPr>
      <w:r>
        <w:rPr>
          <w:rFonts w:ascii="Times New Roman" w:hAnsi="Times New Roman" w:eastAsia="仿宋_GB2312" w:cs="Times New Roman"/>
          <w:color w:val="auto"/>
          <w:sz w:val="32"/>
          <w:shd w:val="clear" w:color="auto" w:fill="FFFFFF"/>
        </w:rPr>
        <w:t xml:space="preserve">    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年预算持平。公务用车购置及运行费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w:t>
      </w:r>
      <w:r>
        <w:rPr>
          <w:rFonts w:hint="eastAsia" w:ascii="Times New Roman" w:hAnsi="Times New Roman" w:eastAsia="仿宋_GB2312" w:cs="Times New Roman"/>
          <w:color w:val="auto"/>
          <w:sz w:val="32"/>
          <w:shd w:val="clear" w:color="auto" w:fill="FFFFFF"/>
          <w:lang w:eastAsia="zh-CN"/>
        </w:rPr>
        <w:t>维护</w:t>
      </w:r>
      <w:r>
        <w:rPr>
          <w:rFonts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。计划接待</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人</w:t>
      </w:r>
      <w:r>
        <w:rPr>
          <w:rFonts w:hint="eastAsia" w:ascii="Times New Roman" w:hAnsi="Times New Roman" w:eastAsia="仿宋_GB2312" w:cs="Times New Roman"/>
          <w:color w:val="auto"/>
          <w:sz w:val="32"/>
          <w:shd w:val="clear" w:color="auto" w:fill="FFFFFF"/>
        </w:rPr>
        <w:t>。</w:t>
      </w:r>
    </w:p>
    <w:p>
      <w:pPr>
        <w:spacing w:line="560" w:lineRule="exact"/>
        <w:ind w:firstLine="640" w:firstLineChars="200"/>
        <w:rPr>
          <w:rFonts w:hint="eastAsia" w:ascii="仿宋_GB2312" w:hAnsi="ˎ̥" w:eastAsia="仿宋_GB2312"/>
          <w:color w:val="auto"/>
          <w:sz w:val="32"/>
          <w:szCs w:val="32"/>
        </w:rPr>
      </w:pPr>
    </w:p>
    <w:p>
      <w:pPr>
        <w:ind w:firstLine="640" w:firstLineChars="200"/>
        <w:rPr>
          <w:rFonts w:hint="eastAsia" w:ascii="仿宋" w:hAnsi="仿宋" w:eastAsia="仿宋"/>
          <w:color w:val="0000FF"/>
          <w:sz w:val="32"/>
          <w:szCs w:val="32"/>
        </w:rPr>
      </w:pPr>
      <w:r>
        <w:rPr>
          <w:rFonts w:hint="eastAsia" w:ascii="黑体" w:hAnsi="黑体" w:eastAsia="黑体" w:cs="Times New Roman"/>
          <w:sz w:val="32"/>
          <w:szCs w:val="32"/>
          <w:shd w:val="clear" w:color="auto" w:fill="FFFFFF"/>
        </w:rPr>
        <w:t>五、三亚市立才学校2023</w:t>
      </w:r>
      <w:r>
        <w:rPr>
          <w:rFonts w:ascii="黑体" w:hAnsi="黑体" w:eastAsia="黑体" w:cs="Times New Roman"/>
          <w:sz w:val="32"/>
          <w:szCs w:val="32"/>
          <w:shd w:val="clear" w:color="auto" w:fill="FFFFFF"/>
        </w:rPr>
        <w:t>年</w:t>
      </w:r>
      <w:r>
        <w:rPr>
          <w:rFonts w:hint="eastAsia" w:ascii="黑体" w:hAnsi="黑体" w:eastAsia="黑体" w:cs="Times New Roman"/>
          <w:sz w:val="32"/>
          <w:szCs w:val="32"/>
          <w:shd w:val="clear" w:color="auto" w:fill="FFFFFF"/>
        </w:rPr>
        <w:t>单位政府性基金预算当年拨款情况说明</w:t>
      </w:r>
    </w:p>
    <w:p>
      <w:pPr>
        <w:ind w:firstLine="640"/>
        <w:jc w:val="left"/>
        <w:rPr>
          <w:rFonts w:hint="eastAsia"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hint="eastAsia" w:ascii="仿宋_GB2312" w:hAnsi="黑体" w:eastAsia="仿宋_GB2312"/>
          <w:sz w:val="32"/>
          <w:szCs w:val="32"/>
        </w:rPr>
      </w:pPr>
      <w:r>
        <w:rPr>
          <w:rFonts w:hint="eastAsia" w:ascii="仿宋" w:hAnsi="仿宋" w:eastAsia="仿宋"/>
          <w:sz w:val="32"/>
          <w:szCs w:val="32"/>
        </w:rPr>
        <w:t>三亚市</w:t>
      </w:r>
      <w:r>
        <w:rPr>
          <w:rFonts w:hint="eastAsia" w:ascii="仿宋" w:hAnsi="仿宋" w:eastAsia="仿宋" w:cs="Times New Roman"/>
          <w:sz w:val="32"/>
          <w:szCs w:val="32"/>
          <w:shd w:val="clear" w:color="auto" w:fill="FFFFFF"/>
        </w:rPr>
        <w:t>立才学校</w:t>
      </w:r>
      <w:r>
        <w:rPr>
          <w:rFonts w:hint="eastAsia" w:ascii="仿宋" w:hAnsi="仿宋" w:eastAsia="仿宋"/>
          <w:sz w:val="32"/>
          <w:szCs w:val="32"/>
        </w:rPr>
        <w:t>2023年政府性基金预算当年拨款</w:t>
      </w:r>
      <w:r>
        <w:rPr>
          <w:rFonts w:hint="eastAsia" w:ascii="仿宋" w:hAnsi="仿宋" w:eastAsia="仿宋" w:cs="仿宋_GB2312"/>
          <w:sz w:val="32"/>
          <w:szCs w:val="32"/>
        </w:rPr>
        <w:t>0</w:t>
      </w:r>
      <w:r>
        <w:rPr>
          <w:rFonts w:hint="eastAsia" w:ascii="仿宋" w:hAnsi="仿宋" w:eastAsia="仿宋"/>
          <w:sz w:val="32"/>
          <w:szCs w:val="32"/>
        </w:rPr>
        <w:t>万元，</w:t>
      </w:r>
      <w:r>
        <w:rPr>
          <w:rFonts w:hint="eastAsia" w:ascii="仿宋" w:hAnsi="仿宋" w:eastAsia="仿宋"/>
          <w:sz w:val="32"/>
          <w:szCs w:val="32"/>
          <w:lang w:val="en-US" w:eastAsia="zh-CN"/>
        </w:rPr>
        <w:t>与</w:t>
      </w:r>
      <w:r>
        <w:rPr>
          <w:rFonts w:hint="eastAsia" w:ascii="仿宋" w:hAnsi="仿宋" w:eastAsia="仿宋"/>
          <w:sz w:val="32"/>
          <w:szCs w:val="32"/>
        </w:rPr>
        <w:t>上年预算数</w:t>
      </w:r>
      <w:r>
        <w:rPr>
          <w:rFonts w:hint="eastAsia" w:ascii="仿宋" w:hAnsi="仿宋" w:eastAsia="仿宋" w:cs="仿宋_GB2312"/>
          <w:sz w:val="32"/>
          <w:szCs w:val="32"/>
        </w:rPr>
        <w:t>持平</w:t>
      </w:r>
      <w:r>
        <w:rPr>
          <w:rFonts w:hint="eastAsia" w:ascii="仿宋" w:hAnsi="仿宋" w:eastAsia="仿宋"/>
          <w:sz w:val="32"/>
          <w:szCs w:val="32"/>
        </w:rPr>
        <w:t>。</w:t>
      </w:r>
      <w:r>
        <w:rPr>
          <w:rFonts w:hint="eastAsia" w:ascii="仿宋_GB2312" w:hAnsi="黑体" w:eastAsia="仿宋_GB2312"/>
          <w:sz w:val="32"/>
          <w:szCs w:val="32"/>
          <w:lang w:eastAsia="zh-CN"/>
        </w:rPr>
        <w:t>主要原因是上年与本年度均为没有政府性基金预算拨款情况。</w:t>
      </w:r>
    </w:p>
    <w:p>
      <w:pPr>
        <w:ind w:firstLine="640"/>
        <w:jc w:val="left"/>
        <w:rPr>
          <w:rFonts w:hint="eastAsia"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hint="eastAsia" w:ascii="仿宋" w:hAnsi="仿宋" w:eastAsia="仿宋"/>
          <w:sz w:val="32"/>
          <w:szCs w:val="32"/>
        </w:rPr>
      </w:pPr>
      <w:r>
        <w:rPr>
          <w:rFonts w:hint="eastAsia" w:ascii="仿宋" w:hAnsi="仿宋" w:eastAsia="仿宋" w:cs="仿宋_GB2312"/>
          <w:sz w:val="32"/>
          <w:szCs w:val="32"/>
        </w:rPr>
        <w:t>科学技术支出（类）支出0</w:t>
      </w:r>
      <w:r>
        <w:rPr>
          <w:rFonts w:hint="eastAsia" w:ascii="仿宋" w:hAnsi="仿宋" w:eastAsia="仿宋"/>
          <w:sz w:val="32"/>
          <w:szCs w:val="32"/>
        </w:rPr>
        <w:t>万元，占</w:t>
      </w:r>
      <w:r>
        <w:rPr>
          <w:rFonts w:hint="eastAsia" w:ascii="仿宋" w:hAnsi="仿宋" w:eastAsia="仿宋" w:cs="仿宋_GB2312"/>
          <w:sz w:val="32"/>
          <w:szCs w:val="32"/>
        </w:rPr>
        <w:t>0</w:t>
      </w:r>
      <w:r>
        <w:rPr>
          <w:rFonts w:hint="eastAsia" w:ascii="仿宋" w:hAnsi="仿宋" w:eastAsia="仿宋"/>
          <w:sz w:val="32"/>
          <w:szCs w:val="32"/>
        </w:rPr>
        <w:t>%；文化体育与传媒支出（类）</w:t>
      </w:r>
      <w:r>
        <w:rPr>
          <w:rFonts w:hint="eastAsia" w:ascii="仿宋" w:hAnsi="仿宋" w:eastAsia="仿宋" w:cs="仿宋_GB2312"/>
          <w:sz w:val="32"/>
          <w:szCs w:val="32"/>
        </w:rPr>
        <w:t>支出0</w:t>
      </w:r>
      <w:r>
        <w:rPr>
          <w:rFonts w:hint="eastAsia" w:ascii="仿宋" w:hAnsi="仿宋" w:eastAsia="仿宋"/>
          <w:sz w:val="32"/>
          <w:szCs w:val="32"/>
        </w:rPr>
        <w:t>万元，占</w:t>
      </w:r>
      <w:r>
        <w:rPr>
          <w:rFonts w:hint="eastAsia" w:ascii="仿宋" w:hAnsi="仿宋" w:eastAsia="仿宋" w:cs="仿宋_GB2312"/>
          <w:sz w:val="32"/>
          <w:szCs w:val="32"/>
        </w:rPr>
        <w:t>0</w:t>
      </w:r>
      <w:r>
        <w:rPr>
          <w:rFonts w:hint="eastAsia" w:ascii="仿宋" w:hAnsi="仿宋" w:eastAsia="仿宋"/>
          <w:sz w:val="32"/>
          <w:szCs w:val="32"/>
        </w:rPr>
        <w:t>%；社会保障和就业支出（类）</w:t>
      </w:r>
      <w:r>
        <w:rPr>
          <w:rFonts w:hint="eastAsia" w:ascii="仿宋" w:hAnsi="仿宋" w:eastAsia="仿宋" w:cs="仿宋_GB2312"/>
          <w:sz w:val="32"/>
          <w:szCs w:val="32"/>
        </w:rPr>
        <w:t>支出0</w:t>
      </w:r>
      <w:r>
        <w:rPr>
          <w:rFonts w:hint="eastAsia" w:ascii="仿宋" w:hAnsi="仿宋" w:eastAsia="仿宋"/>
          <w:sz w:val="32"/>
          <w:szCs w:val="32"/>
        </w:rPr>
        <w:t>万元，占</w:t>
      </w:r>
      <w:r>
        <w:rPr>
          <w:rFonts w:hint="eastAsia" w:ascii="仿宋" w:hAnsi="仿宋" w:eastAsia="仿宋" w:cs="仿宋_GB2312"/>
          <w:sz w:val="32"/>
          <w:szCs w:val="32"/>
        </w:rPr>
        <w:t>0</w:t>
      </w:r>
      <w:r>
        <w:rPr>
          <w:rFonts w:hint="eastAsia" w:ascii="仿宋" w:hAnsi="仿宋" w:eastAsia="仿宋"/>
          <w:sz w:val="32"/>
          <w:szCs w:val="32"/>
        </w:rPr>
        <w:t>%；节能环保（类）</w:t>
      </w:r>
      <w:r>
        <w:rPr>
          <w:rFonts w:hint="eastAsia" w:ascii="仿宋" w:hAnsi="仿宋" w:eastAsia="仿宋" w:cs="仿宋_GB2312"/>
          <w:sz w:val="32"/>
          <w:szCs w:val="32"/>
        </w:rPr>
        <w:t>支出0</w:t>
      </w:r>
      <w:r>
        <w:rPr>
          <w:rFonts w:hint="eastAsia" w:ascii="仿宋" w:hAnsi="仿宋" w:eastAsia="仿宋"/>
          <w:sz w:val="32"/>
          <w:szCs w:val="32"/>
        </w:rPr>
        <w:t>万元，占</w:t>
      </w:r>
      <w:r>
        <w:rPr>
          <w:rFonts w:hint="eastAsia" w:ascii="仿宋" w:hAnsi="仿宋" w:eastAsia="仿宋" w:cs="仿宋_GB2312"/>
          <w:sz w:val="32"/>
          <w:szCs w:val="32"/>
        </w:rPr>
        <w:t>0</w:t>
      </w:r>
      <w:r>
        <w:rPr>
          <w:rFonts w:hint="eastAsia" w:ascii="仿宋" w:hAnsi="仿宋" w:eastAsia="仿宋"/>
          <w:sz w:val="32"/>
          <w:szCs w:val="32"/>
        </w:rPr>
        <w:t>%。</w:t>
      </w:r>
    </w:p>
    <w:p>
      <w:pPr>
        <w:ind w:firstLine="640"/>
        <w:jc w:val="left"/>
        <w:rPr>
          <w:rFonts w:hint="eastAsia"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numPr>
          <w:ilvl w:val="0"/>
          <w:numId w:val="0"/>
        </w:numPr>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六、三亚市立才学校2023</w:t>
      </w:r>
      <w:r>
        <w:rPr>
          <w:rFonts w:ascii="黑体" w:hAnsi="黑体" w:eastAsia="黑体" w:cs="Times New Roman"/>
          <w:sz w:val="32"/>
          <w:szCs w:val="32"/>
          <w:shd w:val="clear" w:color="auto" w:fill="FFFFFF"/>
        </w:rPr>
        <w:t>年</w:t>
      </w:r>
      <w:r>
        <w:rPr>
          <w:rFonts w:hint="eastAsia" w:ascii="黑体" w:hAnsi="黑体" w:eastAsia="黑体" w:cs="Times New Roman"/>
          <w:sz w:val="32"/>
          <w:szCs w:val="32"/>
          <w:shd w:val="clear" w:color="auto" w:fill="FFFFFF"/>
        </w:rPr>
        <w:t>单位收支预算情况的总体说明</w:t>
      </w:r>
    </w:p>
    <w:p>
      <w:pPr>
        <w:ind w:firstLine="640" w:firstLineChars="200"/>
        <w:rPr>
          <w:rFonts w:ascii="仿宋" w:hAnsi="仿宋" w:eastAsia="仿宋"/>
          <w:sz w:val="32"/>
          <w:szCs w:val="32"/>
        </w:rPr>
      </w:pPr>
      <w:r>
        <w:rPr>
          <w:rFonts w:hint="eastAsia" w:ascii="仿宋" w:hAnsi="仿宋" w:eastAsia="仿宋" w:cs="仿宋_GB2312"/>
          <w:sz w:val="32"/>
          <w:szCs w:val="32"/>
        </w:rPr>
        <w:t>按照综合预算原则，三亚市立才学校所有收入和支出均纳入部门预算管理。收入包括：一般公共预算收入</w:t>
      </w:r>
      <w:r>
        <w:rPr>
          <w:rFonts w:hint="eastAsia" w:ascii="仿宋" w:hAnsi="仿宋" w:eastAsia="仿宋"/>
          <w:sz w:val="32"/>
          <w:szCs w:val="32"/>
        </w:rPr>
        <w:t>；支出包括：教育支出、社会保障和就业支出、卫生健康支出、住房保障支出。</w:t>
      </w:r>
      <w:r>
        <w:rPr>
          <w:rFonts w:hint="eastAsia" w:ascii="仿宋" w:hAnsi="仿宋" w:eastAsia="仿宋" w:cs="仿宋_GB2312"/>
          <w:sz w:val="32"/>
          <w:szCs w:val="32"/>
        </w:rPr>
        <w:t>三亚市立才学校2023</w:t>
      </w:r>
      <w:r>
        <w:rPr>
          <w:rFonts w:hint="eastAsia" w:ascii="仿宋" w:hAnsi="仿宋" w:eastAsia="仿宋"/>
          <w:sz w:val="32"/>
          <w:szCs w:val="32"/>
        </w:rPr>
        <w:t>年收支总预算</w:t>
      </w:r>
      <w:r>
        <w:rPr>
          <w:rFonts w:hint="eastAsia" w:ascii="仿宋" w:hAnsi="仿宋" w:eastAsia="仿宋" w:cs="仿宋_GB2312"/>
          <w:sz w:val="32"/>
          <w:szCs w:val="32"/>
        </w:rPr>
        <w:t>2996.99</w:t>
      </w:r>
      <w:r>
        <w:rPr>
          <w:rFonts w:hint="eastAsia" w:ascii="仿宋" w:hAnsi="仿宋" w:eastAsia="仿宋"/>
          <w:sz w:val="32"/>
          <w:szCs w:val="32"/>
        </w:rPr>
        <w:t>万元。</w:t>
      </w:r>
    </w:p>
    <w:p>
      <w:pPr>
        <w:ind w:firstLine="640" w:firstLineChars="2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七、三亚市立才学校2023</w:t>
      </w:r>
      <w:r>
        <w:rPr>
          <w:rFonts w:ascii="黑体" w:hAnsi="黑体" w:eastAsia="黑体" w:cs="Times New Roman"/>
          <w:sz w:val="32"/>
          <w:szCs w:val="32"/>
          <w:shd w:val="clear" w:color="auto" w:fill="FFFFFF"/>
        </w:rPr>
        <w:t>年</w:t>
      </w:r>
      <w:r>
        <w:rPr>
          <w:rFonts w:hint="eastAsia" w:ascii="黑体" w:hAnsi="黑体" w:eastAsia="黑体" w:cs="Times New Roman"/>
          <w:sz w:val="32"/>
          <w:szCs w:val="32"/>
          <w:shd w:val="clear" w:color="auto" w:fill="FFFFFF"/>
        </w:rPr>
        <w:t>收入预算情况说明</w:t>
      </w:r>
    </w:p>
    <w:p>
      <w:pPr>
        <w:ind w:firstLine="640" w:firstLineChars="200"/>
        <w:rPr>
          <w:rFonts w:ascii="仿宋" w:hAnsi="仿宋" w:eastAsia="仿宋"/>
          <w:sz w:val="32"/>
          <w:szCs w:val="32"/>
        </w:rPr>
      </w:pPr>
      <w:r>
        <w:rPr>
          <w:rFonts w:hint="eastAsia" w:ascii="仿宋" w:hAnsi="仿宋" w:eastAsia="仿宋" w:cs="仿宋_GB2312"/>
          <w:sz w:val="32"/>
          <w:szCs w:val="32"/>
        </w:rPr>
        <w:t>三亚市立才学校2023</w:t>
      </w:r>
      <w:r>
        <w:rPr>
          <w:rFonts w:hint="eastAsia" w:ascii="仿宋" w:hAnsi="仿宋" w:eastAsia="仿宋"/>
          <w:sz w:val="32"/>
          <w:szCs w:val="32"/>
        </w:rPr>
        <w:t>年收入预算</w:t>
      </w:r>
      <w:r>
        <w:rPr>
          <w:rFonts w:hint="eastAsia" w:ascii="仿宋" w:hAnsi="仿宋" w:eastAsia="仿宋" w:cs="仿宋_GB2312"/>
          <w:sz w:val="32"/>
          <w:szCs w:val="32"/>
        </w:rPr>
        <w:t>2996.99</w:t>
      </w:r>
      <w:r>
        <w:rPr>
          <w:rFonts w:hint="eastAsia" w:ascii="仿宋" w:hAnsi="仿宋" w:eastAsia="仿宋"/>
          <w:sz w:val="32"/>
          <w:szCs w:val="32"/>
        </w:rPr>
        <w:t>万元，占</w:t>
      </w:r>
      <w:r>
        <w:rPr>
          <w:rFonts w:hint="eastAsia" w:ascii="仿宋" w:hAnsi="仿宋" w:eastAsia="仿宋" w:cs="仿宋_GB2312"/>
          <w:sz w:val="32"/>
          <w:szCs w:val="32"/>
        </w:rPr>
        <w:t>100</w:t>
      </w:r>
      <w:r>
        <w:rPr>
          <w:rFonts w:hint="eastAsia" w:ascii="仿宋" w:hAnsi="仿宋" w:eastAsia="仿宋"/>
          <w:sz w:val="32"/>
          <w:szCs w:val="32"/>
        </w:rPr>
        <w:t>%；经费拨款收入</w:t>
      </w:r>
      <w:r>
        <w:rPr>
          <w:rFonts w:hint="eastAsia" w:ascii="仿宋" w:hAnsi="仿宋" w:eastAsia="仿宋" w:cs="仿宋_GB2312"/>
          <w:sz w:val="32"/>
          <w:szCs w:val="32"/>
        </w:rPr>
        <w:t>2996.99</w:t>
      </w:r>
      <w:r>
        <w:rPr>
          <w:rFonts w:hint="eastAsia" w:ascii="仿宋" w:hAnsi="仿宋" w:eastAsia="仿宋"/>
          <w:sz w:val="32"/>
          <w:szCs w:val="32"/>
        </w:rPr>
        <w:t>万元，占</w:t>
      </w:r>
      <w:r>
        <w:rPr>
          <w:rFonts w:hint="eastAsia" w:ascii="仿宋" w:hAnsi="仿宋" w:eastAsia="仿宋" w:cs="仿宋_GB2312"/>
          <w:sz w:val="32"/>
          <w:szCs w:val="32"/>
        </w:rPr>
        <w:t>100</w:t>
      </w:r>
      <w:r>
        <w:rPr>
          <w:rFonts w:hint="eastAsia" w:ascii="仿宋" w:hAnsi="仿宋" w:eastAsia="仿宋"/>
          <w:sz w:val="32"/>
          <w:szCs w:val="32"/>
        </w:rPr>
        <w:t>%。比上年预算数</w:t>
      </w:r>
      <w:r>
        <w:rPr>
          <w:rFonts w:hint="eastAsia" w:ascii="仿宋" w:hAnsi="仿宋" w:eastAsia="仿宋" w:cs="仿宋_GB2312"/>
          <w:sz w:val="32"/>
          <w:szCs w:val="32"/>
        </w:rPr>
        <w:t>增加1193.24</w:t>
      </w:r>
      <w:r>
        <w:rPr>
          <w:rFonts w:hint="eastAsia" w:ascii="仿宋" w:hAnsi="仿宋" w:eastAsia="仿宋"/>
          <w:sz w:val="32"/>
          <w:szCs w:val="32"/>
        </w:rPr>
        <w:t>万元，主要是一般公共预算。</w:t>
      </w:r>
    </w:p>
    <w:p>
      <w:pPr>
        <w:ind w:firstLine="640" w:firstLineChars="2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八、三亚市立才学校2023</w:t>
      </w:r>
      <w:r>
        <w:rPr>
          <w:rFonts w:ascii="黑体" w:hAnsi="黑体" w:eastAsia="黑体" w:cs="Times New Roman"/>
          <w:sz w:val="32"/>
          <w:szCs w:val="32"/>
          <w:shd w:val="clear" w:color="auto" w:fill="FFFFFF"/>
        </w:rPr>
        <w:t>年</w:t>
      </w:r>
      <w:r>
        <w:rPr>
          <w:rFonts w:hint="eastAsia" w:ascii="黑体" w:hAnsi="黑体" w:eastAsia="黑体" w:cs="Times New Roman"/>
          <w:sz w:val="32"/>
          <w:szCs w:val="32"/>
          <w:shd w:val="clear" w:color="auto" w:fill="FFFFFF"/>
        </w:rPr>
        <w:t>支出预算情况说明</w:t>
      </w:r>
    </w:p>
    <w:p>
      <w:pPr>
        <w:ind w:firstLine="640" w:firstLineChars="200"/>
        <w:rPr>
          <w:rFonts w:hint="eastAsia" w:ascii="仿宋" w:hAnsi="仿宋" w:eastAsia="仿宋" w:cs="仿宋_GB2312"/>
          <w:sz w:val="32"/>
          <w:szCs w:val="32"/>
        </w:rPr>
      </w:pPr>
      <w:r>
        <w:rPr>
          <w:rFonts w:hint="eastAsia" w:ascii="仿宋" w:hAnsi="仿宋" w:eastAsia="仿宋"/>
          <w:sz w:val="32"/>
          <w:szCs w:val="32"/>
        </w:rPr>
        <w:t>三亚市立才学校2023年支出预算</w:t>
      </w:r>
      <w:r>
        <w:rPr>
          <w:rFonts w:hint="eastAsia" w:ascii="仿宋" w:hAnsi="仿宋" w:eastAsia="仿宋" w:cs="仿宋_GB2312"/>
          <w:sz w:val="32"/>
          <w:szCs w:val="32"/>
        </w:rPr>
        <w:t>2996.99</w:t>
      </w:r>
      <w:r>
        <w:rPr>
          <w:rFonts w:hint="eastAsia" w:ascii="仿宋" w:hAnsi="仿宋" w:eastAsia="仿宋"/>
          <w:sz w:val="32"/>
          <w:szCs w:val="32"/>
        </w:rPr>
        <w:t>万元,其中：基本支出</w:t>
      </w:r>
      <w:r>
        <w:rPr>
          <w:rFonts w:hint="eastAsia" w:ascii="仿宋" w:hAnsi="仿宋" w:eastAsia="仿宋" w:cs="仿宋_GB2312"/>
          <w:sz w:val="32"/>
          <w:szCs w:val="32"/>
        </w:rPr>
        <w:t>2604.49</w:t>
      </w:r>
      <w:r>
        <w:rPr>
          <w:rFonts w:hint="eastAsia" w:ascii="仿宋" w:hAnsi="仿宋" w:eastAsia="仿宋"/>
          <w:sz w:val="32"/>
          <w:szCs w:val="32"/>
        </w:rPr>
        <w:t>万元，占</w:t>
      </w:r>
      <w:r>
        <w:rPr>
          <w:rFonts w:hint="eastAsia" w:ascii="仿宋" w:hAnsi="仿宋" w:eastAsia="仿宋" w:cs="仿宋_GB2312"/>
          <w:sz w:val="32"/>
          <w:szCs w:val="32"/>
        </w:rPr>
        <w:t>86.90</w:t>
      </w:r>
      <w:r>
        <w:rPr>
          <w:rFonts w:hint="eastAsia" w:ascii="仿宋" w:hAnsi="仿宋" w:eastAsia="仿宋"/>
          <w:sz w:val="32"/>
          <w:szCs w:val="32"/>
        </w:rPr>
        <w:t>%；项目支出</w:t>
      </w:r>
      <w:r>
        <w:rPr>
          <w:rFonts w:hint="eastAsia" w:ascii="仿宋" w:hAnsi="仿宋" w:eastAsia="仿宋" w:cs="仿宋_GB2312"/>
          <w:sz w:val="32"/>
          <w:szCs w:val="32"/>
        </w:rPr>
        <w:t>319.12</w:t>
      </w:r>
      <w:r>
        <w:rPr>
          <w:rFonts w:hint="eastAsia" w:ascii="仿宋" w:hAnsi="仿宋" w:eastAsia="仿宋"/>
          <w:sz w:val="32"/>
          <w:szCs w:val="32"/>
        </w:rPr>
        <w:t>万元，占</w:t>
      </w:r>
      <w:r>
        <w:rPr>
          <w:rFonts w:hint="eastAsia" w:ascii="仿宋" w:hAnsi="仿宋" w:eastAsia="仿宋" w:cs="仿宋_GB2312"/>
          <w:sz w:val="32"/>
          <w:szCs w:val="32"/>
        </w:rPr>
        <w:t>10.65</w:t>
      </w:r>
      <w:r>
        <w:rPr>
          <w:rFonts w:hint="eastAsia" w:ascii="仿宋" w:hAnsi="仿宋" w:eastAsia="仿宋"/>
          <w:sz w:val="32"/>
          <w:szCs w:val="32"/>
        </w:rPr>
        <w:t>%。比上年预算数</w:t>
      </w:r>
      <w:r>
        <w:rPr>
          <w:rFonts w:hint="eastAsia" w:ascii="仿宋" w:hAnsi="仿宋" w:eastAsia="仿宋" w:cs="仿宋_GB2312"/>
          <w:sz w:val="32"/>
          <w:szCs w:val="32"/>
        </w:rPr>
        <w:t>增加1193.24</w:t>
      </w:r>
      <w:r>
        <w:rPr>
          <w:rFonts w:hint="eastAsia" w:ascii="仿宋" w:hAnsi="仿宋" w:eastAsia="仿宋"/>
          <w:sz w:val="32"/>
          <w:szCs w:val="32"/>
        </w:rPr>
        <w:t>万元，主要是基本支出增加355.39万元；项目支出增加259.12万元。去年我校没有做班主任，保安、校医、厨工等经费（由教科卫健局统一做），今年全部放在我校项目支出，导致增加幅度较大。</w:t>
      </w:r>
    </w:p>
    <w:p>
      <w:pPr>
        <w:ind w:firstLine="640" w:firstLineChars="2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（一）政府采购情况</w:t>
      </w:r>
    </w:p>
    <w:p>
      <w:pPr>
        <w:ind w:firstLine="640"/>
        <w:rPr>
          <w:rFonts w:ascii="仿宋" w:hAnsi="仿宋" w:eastAsia="仿宋"/>
          <w:sz w:val="32"/>
          <w:szCs w:val="32"/>
        </w:rPr>
      </w:pPr>
      <w:r>
        <w:rPr>
          <w:rFonts w:hint="eastAsia" w:ascii="仿宋" w:hAnsi="仿宋" w:eastAsia="仿宋"/>
          <w:sz w:val="32"/>
          <w:szCs w:val="32"/>
        </w:rPr>
        <w:t>2023年三亚市立才学校</w:t>
      </w:r>
      <w:r>
        <w:rPr>
          <w:rFonts w:hint="eastAsia" w:ascii="仿宋" w:hAnsi="仿宋" w:eastAsia="仿宋" w:cs="仿宋_GB2312"/>
          <w:sz w:val="32"/>
          <w:szCs w:val="32"/>
        </w:rPr>
        <w:t>固定资产预算总额10</w:t>
      </w:r>
      <w:r>
        <w:rPr>
          <w:rFonts w:hint="eastAsia" w:ascii="仿宋" w:hAnsi="仿宋" w:eastAsia="仿宋"/>
          <w:sz w:val="32"/>
          <w:szCs w:val="32"/>
        </w:rPr>
        <w:t>万元，其中：政府采购货物预算</w:t>
      </w:r>
      <w:r>
        <w:rPr>
          <w:rFonts w:hint="eastAsia" w:ascii="仿宋" w:hAnsi="仿宋" w:eastAsia="仿宋" w:cs="仿宋_GB2312"/>
          <w:sz w:val="32"/>
          <w:szCs w:val="32"/>
        </w:rPr>
        <w:t>10</w:t>
      </w:r>
      <w:r>
        <w:rPr>
          <w:rFonts w:hint="eastAsia" w:ascii="仿宋" w:hAnsi="仿宋"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（二）国有资产占有使用情况</w:t>
      </w:r>
    </w:p>
    <w:p>
      <w:pPr>
        <w:ind w:firstLine="640" w:firstLineChars="200"/>
        <w:rPr>
          <w:rFonts w:ascii="仿宋_GB2312" w:hAnsi="黑体" w:eastAsia="仿宋_GB2312" w:cs="仿宋_GB2312"/>
          <w:sz w:val="32"/>
          <w:szCs w:val="32"/>
        </w:rPr>
      </w:pPr>
      <w:r>
        <w:rPr>
          <w:rFonts w:hint="eastAsia" w:ascii="仿宋" w:hAnsi="仿宋" w:eastAsia="仿宋" w:cs="仿宋_GB2312"/>
          <w:sz w:val="32"/>
          <w:szCs w:val="32"/>
        </w:rPr>
        <w:t>截至2022</w:t>
      </w:r>
      <w:r>
        <w:rPr>
          <w:rFonts w:hint="eastAsia" w:ascii="仿宋" w:hAnsi="仿宋" w:eastAsia="仿宋"/>
          <w:sz w:val="32"/>
          <w:szCs w:val="32"/>
        </w:rPr>
        <w:t>年12月31日，</w:t>
      </w:r>
      <w:r>
        <w:rPr>
          <w:rFonts w:hint="eastAsia" w:ascii="仿宋" w:hAnsi="仿宋" w:eastAsia="仿宋" w:cs="仿宋_GB2312"/>
          <w:sz w:val="32"/>
          <w:szCs w:val="32"/>
        </w:rPr>
        <w:t>三亚市立才学校共有车辆0辆</w:t>
      </w:r>
      <w:r>
        <w:rPr>
          <w:rFonts w:hint="eastAsia" w:ascii="仿宋_GB2312" w:hAnsi="黑体" w:eastAsia="仿宋_GB2312" w:cs="仿宋_GB2312"/>
          <w:sz w:val="32"/>
          <w:szCs w:val="32"/>
        </w:rPr>
        <w:t>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（三）绩效目标设置情况</w:t>
      </w:r>
    </w:p>
    <w:p>
      <w:pPr>
        <w:ind w:firstLine="640" w:firstLineChars="200"/>
        <w:rPr>
          <w:rFonts w:hint="eastAsia" w:ascii="仿宋" w:hAnsi="仿宋" w:eastAsia="仿宋"/>
          <w:sz w:val="32"/>
          <w:szCs w:val="32"/>
          <w:lang w:eastAsia="zh-CN"/>
        </w:rPr>
      </w:pPr>
      <w:r>
        <w:rPr>
          <w:rFonts w:hint="eastAsia" w:ascii="仿宋" w:hAnsi="仿宋" w:eastAsia="仿宋" w:cs="仿宋_GB2312"/>
          <w:sz w:val="32"/>
          <w:szCs w:val="32"/>
        </w:rPr>
        <w:t>2023</w:t>
      </w:r>
      <w:r>
        <w:rPr>
          <w:rFonts w:hint="eastAsia" w:ascii="仿宋" w:hAnsi="仿宋" w:eastAsia="仿宋"/>
          <w:sz w:val="32"/>
          <w:szCs w:val="32"/>
        </w:rPr>
        <w:t>年</w:t>
      </w:r>
      <w:r>
        <w:rPr>
          <w:rFonts w:hint="eastAsia" w:ascii="仿宋" w:hAnsi="仿宋" w:eastAsia="仿宋" w:cs="仿宋_GB2312"/>
          <w:sz w:val="32"/>
          <w:szCs w:val="32"/>
        </w:rPr>
        <w:t>三亚市立才学校14个项目实行绩效目标管理，涉及一般公共预算2996.99</w:t>
      </w:r>
      <w:r>
        <w:rPr>
          <w:rFonts w:hint="eastAsia" w:ascii="仿宋" w:hAnsi="仿宋" w:eastAsia="仿宋"/>
          <w:sz w:val="32"/>
          <w:szCs w:val="32"/>
        </w:rPr>
        <w:t>万元</w:t>
      </w:r>
      <w:r>
        <w:rPr>
          <w:rFonts w:hint="eastAsia" w:ascii="仿宋" w:hAnsi="仿宋" w:eastAsia="仿宋"/>
          <w:sz w:val="32"/>
          <w:szCs w:val="32"/>
          <w:lang w:eastAsia="zh-CN"/>
        </w:rPr>
        <w:t>，政府性基金0万元。</w:t>
      </w:r>
    </w:p>
    <w:p>
      <w:pPr>
        <w:jc w:val="left"/>
        <w:rPr>
          <w:rFonts w:hint="eastAsia" w:ascii="宋体" w:hAnsi="宋体" w:cs="宋体"/>
          <w:b/>
          <w:color w:val="000000"/>
          <w:kern w:val="0"/>
          <w:sz w:val="30"/>
          <w:szCs w:val="30"/>
        </w:rPr>
      </w:pPr>
    </w:p>
    <w:p>
      <w:pPr>
        <w:jc w:val="center"/>
        <w:rPr>
          <w:rFonts w:ascii="黑体" w:hAnsi="黑体" w:eastAsia="黑体"/>
          <w:sz w:val="32"/>
          <w:szCs w:val="32"/>
        </w:rPr>
      </w:pPr>
      <w:r>
        <w:rPr>
          <w:rFonts w:hint="eastAsia" w:ascii="黑体" w:hAnsi="黑体" w:eastAsia="黑体"/>
          <w:sz w:val="32"/>
          <w:szCs w:val="32"/>
        </w:rPr>
        <w:t>第四部分  名词解释</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一、财政拨款收入：指本级财政当年拨付的资金。</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二、事业收入：指事业单位开展专业业务活动及辅助活动取得的收入。</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四、其他收入：指除上述“财政拨款收入”“事业收入”“经营收入”等以外的收入。</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五、年初结转和结余：指以前年度尚未完成、结转到本年按有关规定继续使用的资金。</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六、基本支出：指行政事业单位用于为保障其机构正常运转、完成日常工作任务而发生的人员支出和公用支出。   </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七、工资福利支出：反映单位开支的在职职工和编制外长期聘用人员的各类劳动报酬，以及为上述人员缴纳的各项社会保险费等。</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十、项目支出：指各部门、各单位为完成其特定的工作任务和事业发展目标所发生的支出。</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ˎ̥">
    <w:altName w:val="微软雅黑"/>
    <w:panose1 w:val="00000000000000000000"/>
    <w:charset w:val="00"/>
    <w:family w:val="swiss"/>
    <w:pitch w:val="default"/>
    <w:sig w:usb0="00000000" w:usb1="00000000" w:usb2="00000000"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A2"/>
    <w:rsid w:val="0001190B"/>
    <w:rsid w:val="00036FC1"/>
    <w:rsid w:val="00040460"/>
    <w:rsid w:val="00046DCA"/>
    <w:rsid w:val="000E6E13"/>
    <w:rsid w:val="001013BA"/>
    <w:rsid w:val="001E0710"/>
    <w:rsid w:val="002060D7"/>
    <w:rsid w:val="0021058D"/>
    <w:rsid w:val="00293FA2"/>
    <w:rsid w:val="002942D5"/>
    <w:rsid w:val="002A0699"/>
    <w:rsid w:val="002A3FF8"/>
    <w:rsid w:val="002F3CB8"/>
    <w:rsid w:val="00316DDF"/>
    <w:rsid w:val="0038718E"/>
    <w:rsid w:val="00397286"/>
    <w:rsid w:val="003E0107"/>
    <w:rsid w:val="003F52B8"/>
    <w:rsid w:val="0044552F"/>
    <w:rsid w:val="004A4AD0"/>
    <w:rsid w:val="004B327E"/>
    <w:rsid w:val="004C1CB2"/>
    <w:rsid w:val="004C3624"/>
    <w:rsid w:val="0055627C"/>
    <w:rsid w:val="00560618"/>
    <w:rsid w:val="0057614E"/>
    <w:rsid w:val="005D751F"/>
    <w:rsid w:val="005F299F"/>
    <w:rsid w:val="00610BBE"/>
    <w:rsid w:val="006577A6"/>
    <w:rsid w:val="00682257"/>
    <w:rsid w:val="00695779"/>
    <w:rsid w:val="00716AA0"/>
    <w:rsid w:val="00721B61"/>
    <w:rsid w:val="00756547"/>
    <w:rsid w:val="00777962"/>
    <w:rsid w:val="0079340C"/>
    <w:rsid w:val="00794281"/>
    <w:rsid w:val="007A6719"/>
    <w:rsid w:val="007C45AD"/>
    <w:rsid w:val="007D534C"/>
    <w:rsid w:val="00844494"/>
    <w:rsid w:val="0084704B"/>
    <w:rsid w:val="008C3C13"/>
    <w:rsid w:val="008E4DB2"/>
    <w:rsid w:val="008E5E8B"/>
    <w:rsid w:val="008F0F99"/>
    <w:rsid w:val="009021C2"/>
    <w:rsid w:val="00921A92"/>
    <w:rsid w:val="00952A09"/>
    <w:rsid w:val="00992237"/>
    <w:rsid w:val="009B1857"/>
    <w:rsid w:val="009F7FD1"/>
    <w:rsid w:val="00A115A7"/>
    <w:rsid w:val="00A262E1"/>
    <w:rsid w:val="00A66778"/>
    <w:rsid w:val="00AB1B4D"/>
    <w:rsid w:val="00AD2AFC"/>
    <w:rsid w:val="00AD344F"/>
    <w:rsid w:val="00B45E0B"/>
    <w:rsid w:val="00B7320F"/>
    <w:rsid w:val="00B8742D"/>
    <w:rsid w:val="00BB5B9D"/>
    <w:rsid w:val="00BF26F2"/>
    <w:rsid w:val="00C002EE"/>
    <w:rsid w:val="00C06C89"/>
    <w:rsid w:val="00C15250"/>
    <w:rsid w:val="00C168AF"/>
    <w:rsid w:val="00C74E5A"/>
    <w:rsid w:val="00CB0804"/>
    <w:rsid w:val="00CD65AA"/>
    <w:rsid w:val="00D20320"/>
    <w:rsid w:val="00D401F3"/>
    <w:rsid w:val="00D648F0"/>
    <w:rsid w:val="00D71421"/>
    <w:rsid w:val="00DD326B"/>
    <w:rsid w:val="00DD79E3"/>
    <w:rsid w:val="00E750A2"/>
    <w:rsid w:val="00E91810"/>
    <w:rsid w:val="00E9680D"/>
    <w:rsid w:val="00EC5935"/>
    <w:rsid w:val="00EE6408"/>
    <w:rsid w:val="00F25C18"/>
    <w:rsid w:val="00F42900"/>
    <w:rsid w:val="00F9223B"/>
    <w:rsid w:val="00F969A9"/>
    <w:rsid w:val="00FE5871"/>
    <w:rsid w:val="00FF4CBF"/>
    <w:rsid w:val="00FF6F90"/>
    <w:rsid w:val="02B95989"/>
    <w:rsid w:val="02EA355A"/>
    <w:rsid w:val="04AF2154"/>
    <w:rsid w:val="04D32398"/>
    <w:rsid w:val="09D95BD9"/>
    <w:rsid w:val="0B213336"/>
    <w:rsid w:val="0C0C2B8F"/>
    <w:rsid w:val="0CEE6EE6"/>
    <w:rsid w:val="0D3F2956"/>
    <w:rsid w:val="0E44693E"/>
    <w:rsid w:val="0ECC73CF"/>
    <w:rsid w:val="1116053E"/>
    <w:rsid w:val="12D1117F"/>
    <w:rsid w:val="147F5FDF"/>
    <w:rsid w:val="188B1175"/>
    <w:rsid w:val="19937260"/>
    <w:rsid w:val="19E40D90"/>
    <w:rsid w:val="1A043D35"/>
    <w:rsid w:val="1BF808E2"/>
    <w:rsid w:val="1BFB339B"/>
    <w:rsid w:val="1E9074D0"/>
    <w:rsid w:val="23663F29"/>
    <w:rsid w:val="25210534"/>
    <w:rsid w:val="26786083"/>
    <w:rsid w:val="29450631"/>
    <w:rsid w:val="2B1555BE"/>
    <w:rsid w:val="2BCE370A"/>
    <w:rsid w:val="2C2C6E2D"/>
    <w:rsid w:val="2C3264CF"/>
    <w:rsid w:val="2D865786"/>
    <w:rsid w:val="2E244F77"/>
    <w:rsid w:val="2EFB755D"/>
    <w:rsid w:val="308D186B"/>
    <w:rsid w:val="309758F0"/>
    <w:rsid w:val="31424D70"/>
    <w:rsid w:val="315B09BE"/>
    <w:rsid w:val="33E54007"/>
    <w:rsid w:val="34B12D35"/>
    <w:rsid w:val="365C7754"/>
    <w:rsid w:val="37270CBF"/>
    <w:rsid w:val="38721770"/>
    <w:rsid w:val="38AA5E92"/>
    <w:rsid w:val="38D375C3"/>
    <w:rsid w:val="39751180"/>
    <w:rsid w:val="39B42370"/>
    <w:rsid w:val="3B122289"/>
    <w:rsid w:val="3E1E536E"/>
    <w:rsid w:val="414A160B"/>
    <w:rsid w:val="414C0007"/>
    <w:rsid w:val="416931C6"/>
    <w:rsid w:val="417077A0"/>
    <w:rsid w:val="438F6D0A"/>
    <w:rsid w:val="44CE19AD"/>
    <w:rsid w:val="45A2695A"/>
    <w:rsid w:val="47C368AB"/>
    <w:rsid w:val="4A746083"/>
    <w:rsid w:val="4ED26192"/>
    <w:rsid w:val="50221771"/>
    <w:rsid w:val="50F5498A"/>
    <w:rsid w:val="51266687"/>
    <w:rsid w:val="51602F04"/>
    <w:rsid w:val="51627FF2"/>
    <w:rsid w:val="52154102"/>
    <w:rsid w:val="523E65A5"/>
    <w:rsid w:val="52694DCD"/>
    <w:rsid w:val="53101747"/>
    <w:rsid w:val="545F7E62"/>
    <w:rsid w:val="54C97AA8"/>
    <w:rsid w:val="560145F9"/>
    <w:rsid w:val="59645CB0"/>
    <w:rsid w:val="5AC125A0"/>
    <w:rsid w:val="5C295D2C"/>
    <w:rsid w:val="5C6C6F79"/>
    <w:rsid w:val="5C9D310E"/>
    <w:rsid w:val="624C26ED"/>
    <w:rsid w:val="68C57859"/>
    <w:rsid w:val="698E66E0"/>
    <w:rsid w:val="6DB028A8"/>
    <w:rsid w:val="6FDE312D"/>
    <w:rsid w:val="71093AB1"/>
    <w:rsid w:val="71510C1E"/>
    <w:rsid w:val="73224ACA"/>
    <w:rsid w:val="73314562"/>
    <w:rsid w:val="73513613"/>
    <w:rsid w:val="749912ED"/>
    <w:rsid w:val="74C34F24"/>
    <w:rsid w:val="76FB0595"/>
    <w:rsid w:val="77293EB9"/>
    <w:rsid w:val="79C6193C"/>
    <w:rsid w:val="7A3108F2"/>
    <w:rsid w:val="7E33577C"/>
    <w:rsid w:val="7ED44DEC"/>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unhideWhenUsed/>
    <w:uiPriority w:val="0"/>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paragraph" w:customStyle="1" w:styleId="8">
    <w:name w:val="List Paragraph"/>
    <w:basedOn w:val="1"/>
    <w:qFormat/>
    <w:uiPriority w:val="34"/>
    <w:pPr>
      <w:ind w:firstLine="420" w:firstLineChars="200"/>
    </w:pPr>
  </w:style>
  <w:style w:type="character" w:customStyle="1" w:styleId="9">
    <w:name w:val="页眉 Char"/>
    <w:basedOn w:val="5"/>
    <w:link w:val="4"/>
    <w:semiHidden/>
    <w:uiPriority w:val="99"/>
    <w:rPr>
      <w:sz w:val="18"/>
      <w:szCs w:val="18"/>
    </w:rPr>
  </w:style>
  <w:style w:type="character" w:customStyle="1" w:styleId="10">
    <w:name w:val="页脚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9</Pages>
  <Words>549</Words>
  <Characters>3133</Characters>
  <Lines>26</Lines>
  <Paragraphs>7</Paragraphs>
  <ScaleCrop>false</ScaleCrop>
  <LinksUpToDate>false</LinksUpToDate>
  <CharactersWithSpaces>3675</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2023-03-06T08:17:00Z</dcterms:created>
  <dc:creator>null,null,总收发</dc:creator>
  <cp:lastModifiedBy>Administrator</cp:lastModifiedBy>
  <dcterms:modified xsi:type="dcterms:W3CDTF">2024-07-22T09:28:20Z</dcterms:modified>
  <dc:title>××年××部门（单位）预算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