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jc w:val="center"/>
        <w:rPr>
          <w:rFonts w:cs="Times New Roman" w:asciiTheme="majorEastAsia" w:hAnsiTheme="majorEastAsia" w:eastAsiaTheme="majorEastAsia"/>
          <w:b/>
          <w:bCs/>
          <w:sz w:val="52"/>
          <w:szCs w:val="52"/>
        </w:rPr>
      </w:pPr>
      <w:r>
        <w:rPr>
          <w:rFonts w:cs="Times New Roman" w:asciiTheme="majorEastAsia" w:hAnsiTheme="majorEastAsia" w:eastAsiaTheme="majorEastAsia"/>
          <w:b/>
          <w:bCs/>
          <w:sz w:val="52"/>
          <w:szCs w:val="52"/>
        </w:rPr>
        <w:t>202</w:t>
      </w:r>
      <w:r>
        <w:rPr>
          <w:rFonts w:hint="eastAsia" w:cs="Times New Roman" w:asciiTheme="majorEastAsia" w:hAnsiTheme="majorEastAsia" w:eastAsiaTheme="majorEastAsia"/>
          <w:b/>
          <w:bCs/>
          <w:sz w:val="52"/>
          <w:szCs w:val="52"/>
        </w:rPr>
        <w:t>3</w:t>
      </w:r>
      <w:r>
        <w:rPr>
          <w:rFonts w:cs="Times New Roman" w:asciiTheme="majorEastAsia" w:hAnsiTheme="majorEastAsia" w:eastAsiaTheme="majorEastAsia"/>
          <w:b/>
          <w:bCs/>
          <w:sz w:val="52"/>
          <w:szCs w:val="52"/>
        </w:rPr>
        <w:t>年三亚市</w:t>
      </w:r>
      <w:r>
        <w:rPr>
          <w:rFonts w:hint="eastAsia" w:cs="Times New Roman" w:asciiTheme="majorEastAsia" w:hAnsiTheme="majorEastAsia" w:eastAsiaTheme="majorEastAsia"/>
          <w:b/>
          <w:bCs/>
          <w:sz w:val="52"/>
          <w:szCs w:val="52"/>
        </w:rPr>
        <w:t>赤田水库供水灌溉工程管理处</w:t>
      </w:r>
      <w:r>
        <w:rPr>
          <w:rFonts w:hint="eastAsia" w:cs="Times New Roman" w:asciiTheme="majorEastAsia" w:hAnsiTheme="majorEastAsia" w:eastAsiaTheme="majorEastAsia"/>
          <w:b/>
          <w:bCs/>
          <w:sz w:val="52"/>
          <w:szCs w:val="52"/>
          <w:lang w:eastAsia="zh-CN"/>
        </w:rPr>
        <w:t>单位</w:t>
      </w:r>
      <w:r>
        <w:rPr>
          <w:rFonts w:cs="Times New Roman" w:asciiTheme="majorEastAsia" w:hAnsiTheme="majorEastAsia" w:eastAsiaTheme="majorEastAsia"/>
          <w:b/>
          <w:bCs/>
          <w:sz w:val="52"/>
          <w:szCs w:val="52"/>
        </w:rPr>
        <w:t>预算</w:t>
      </w:r>
    </w:p>
    <w:p>
      <w:pPr>
        <w:ind w:firstLine="1680"/>
        <w:jc w:val="center"/>
        <w:rPr>
          <w:rFonts w:cs="Times New Roman" w:asciiTheme="majorEastAsia" w:hAnsiTheme="majorEastAsia" w:eastAsiaTheme="majorEastAsia"/>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rPr>
          <w:rFonts w:ascii="Times New Roman" w:hAnsi="Times New Roman" w:cs="Times New Roman"/>
          <w:sz w:val="30"/>
          <w:szCs w:val="30"/>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目录</w:t>
      </w:r>
    </w:p>
    <w:p>
      <w:pPr>
        <w:pStyle w:val="9"/>
        <w:numPr>
          <w:ilvl w:val="0"/>
          <w:numId w:val="1"/>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管理处概况</w:t>
      </w:r>
    </w:p>
    <w:p>
      <w:pPr>
        <w:pStyle w:val="9"/>
        <w:numPr>
          <w:ilvl w:val="0"/>
          <w:numId w:val="2"/>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pStyle w:val="9"/>
        <w:numPr>
          <w:ilvl w:val="0"/>
          <w:numId w:val="2"/>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部门预算单位构成</w:t>
      </w:r>
    </w:p>
    <w:p>
      <w:pPr>
        <w:pStyle w:val="9"/>
        <w:ind w:left="0"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第二部门</w:t>
      </w: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年预算表</w:t>
      </w:r>
    </w:p>
    <w:p>
      <w:pPr>
        <w:pStyle w:val="9"/>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财政拨款收支总表</w:t>
      </w:r>
    </w:p>
    <w:p>
      <w:pPr>
        <w:pStyle w:val="9"/>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一般公共预算支出表</w:t>
      </w:r>
    </w:p>
    <w:p>
      <w:pPr>
        <w:pStyle w:val="9"/>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一般公共预算基本支出表</w:t>
      </w:r>
    </w:p>
    <w:p>
      <w:pPr>
        <w:pStyle w:val="9"/>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一般公共预算“三公”经费支出表</w:t>
      </w:r>
    </w:p>
    <w:p>
      <w:pPr>
        <w:pStyle w:val="9"/>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政府性基金预算支出表。</w:t>
      </w:r>
    </w:p>
    <w:p>
      <w:pPr>
        <w:pStyle w:val="9"/>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政府性基金预算“三公”经费支出表</w:t>
      </w:r>
    </w:p>
    <w:p>
      <w:pPr>
        <w:pStyle w:val="9"/>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单位收支总表</w:t>
      </w:r>
    </w:p>
    <w:p>
      <w:pPr>
        <w:pStyle w:val="9"/>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单位收入总表</w:t>
      </w:r>
    </w:p>
    <w:p>
      <w:pPr>
        <w:pStyle w:val="9"/>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单位支出总表</w:t>
      </w:r>
    </w:p>
    <w:p>
      <w:pPr>
        <w:pStyle w:val="9"/>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项目支出绩效信息表</w:t>
      </w:r>
    </w:p>
    <w:p>
      <w:pPr>
        <w:pStyle w:val="9"/>
        <w:numPr>
          <w:ilvl w:val="0"/>
          <w:numId w:val="0"/>
        </w:numPr>
        <w:ind w:left="0" w:firstLine="0" w:firstLineChars="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第三部分</w:t>
      </w: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年预算情况说明</w:t>
      </w:r>
    </w:p>
    <w:p>
      <w:pPr>
        <w:pStyle w:val="9"/>
        <w:ind w:left="0"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第四部分</w:t>
      </w:r>
      <w:r>
        <w:rPr>
          <w:rFonts w:ascii="Times New Roman" w:hAnsi="Times New Roman" w:eastAsia="黑体" w:cs="Times New Roman"/>
          <w:sz w:val="32"/>
          <w:szCs w:val="32"/>
        </w:rPr>
        <w:t>名词解释</w:t>
      </w:r>
    </w:p>
    <w:p>
      <w:pPr>
        <w:pStyle w:val="9"/>
        <w:ind w:left="0" w:firstLine="0" w:firstLineChars="0"/>
        <w:jc w:val="left"/>
        <w:rPr>
          <w:rFonts w:ascii="Times New Roman" w:hAnsi="Times New Roman" w:eastAsia="黑体" w:cs="Times New Roman"/>
          <w:sz w:val="32"/>
          <w:szCs w:val="32"/>
        </w:rPr>
      </w:pPr>
    </w:p>
    <w:p>
      <w:pPr>
        <w:pStyle w:val="9"/>
        <w:ind w:left="0" w:firstLine="0" w:firstLineChars="0"/>
        <w:jc w:val="left"/>
        <w:rPr>
          <w:rFonts w:ascii="Times New Roman" w:hAnsi="Times New Roman" w:eastAsia="黑体" w:cs="Times New Roman"/>
          <w:sz w:val="32"/>
          <w:szCs w:val="32"/>
        </w:rPr>
      </w:pPr>
    </w:p>
    <w:p>
      <w:pPr>
        <w:pStyle w:val="9"/>
        <w:ind w:left="0" w:firstLine="0" w:firstLineChars="0"/>
        <w:jc w:val="left"/>
        <w:rPr>
          <w:rFonts w:ascii="Times New Roman" w:hAnsi="Times New Roman" w:eastAsia="黑体" w:cs="Times New Roman"/>
          <w:sz w:val="32"/>
          <w:szCs w:val="32"/>
        </w:rPr>
      </w:pPr>
    </w:p>
    <w:p>
      <w:pPr>
        <w:pStyle w:val="9"/>
        <w:ind w:left="0" w:firstLine="0" w:firstLineChars="0"/>
        <w:jc w:val="left"/>
        <w:rPr>
          <w:rFonts w:ascii="Times New Roman" w:hAnsi="Times New Roman" w:eastAsia="黑体" w:cs="Times New Roman"/>
          <w:sz w:val="32"/>
          <w:szCs w:val="32"/>
        </w:rPr>
      </w:pPr>
    </w:p>
    <w:p>
      <w:pPr>
        <w:pStyle w:val="9"/>
        <w:numPr>
          <w:ilvl w:val="0"/>
          <w:numId w:val="4"/>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概况</w:t>
      </w:r>
    </w:p>
    <w:p>
      <w:pPr>
        <w:pStyle w:val="9"/>
        <w:numPr>
          <w:ilvl w:val="0"/>
          <w:numId w:val="5"/>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pStyle w:val="9"/>
        <w:numPr>
          <w:ilvl w:val="-1"/>
          <w:numId w:val="0"/>
        </w:numPr>
        <w:ind w:left="0"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㈠负责水库及其所属水工建筑物、灌区主干渠工程和河道工程的运行管理、日常维护以及更新改造、确保水库大坝、干渠工程安全运行和水库下游农田及居民防洪渡汛安全。</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㈡优化水库水资源配置使用，</w:t>
      </w:r>
      <w:r>
        <w:rPr>
          <w:rFonts w:hint="eastAsia" w:ascii="Times New Roman" w:hAnsi="Times New Roman" w:eastAsia="仿宋_GB2312" w:cs="Times New Roman"/>
          <w:sz w:val="32"/>
          <w:szCs w:val="32"/>
        </w:rPr>
        <w:t>确保三亚市区及海棠区的城市原水供应和农田的正常灌溉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使</w:t>
      </w:r>
      <w:r>
        <w:rPr>
          <w:rFonts w:ascii="Times New Roman" w:hAnsi="Times New Roman" w:eastAsia="仿宋_GB2312" w:cs="Times New Roman"/>
          <w:sz w:val="32"/>
          <w:szCs w:val="32"/>
        </w:rPr>
        <w:t>有限的水资源</w:t>
      </w:r>
      <w:r>
        <w:rPr>
          <w:rFonts w:hint="eastAsia" w:ascii="Times New Roman" w:hAnsi="Times New Roman" w:eastAsia="仿宋_GB2312" w:cs="Times New Roman"/>
          <w:sz w:val="32"/>
          <w:szCs w:val="32"/>
        </w:rPr>
        <w:t>发挥</w:t>
      </w:r>
      <w:r>
        <w:rPr>
          <w:rFonts w:ascii="Times New Roman" w:hAnsi="Times New Roman" w:eastAsia="仿宋_GB2312" w:cs="Times New Roman"/>
          <w:sz w:val="32"/>
          <w:szCs w:val="32"/>
        </w:rPr>
        <w:t>最大</w:t>
      </w:r>
      <w:r>
        <w:rPr>
          <w:rFonts w:hint="eastAsia" w:ascii="Times New Roman" w:hAnsi="Times New Roman" w:eastAsia="仿宋_GB2312" w:cs="Times New Roman"/>
          <w:sz w:val="32"/>
          <w:szCs w:val="32"/>
        </w:rPr>
        <w:t>的经济</w:t>
      </w:r>
      <w:r>
        <w:rPr>
          <w:rFonts w:ascii="Times New Roman" w:hAnsi="Times New Roman" w:eastAsia="仿宋_GB2312" w:cs="Times New Roman"/>
          <w:sz w:val="32"/>
          <w:szCs w:val="32"/>
        </w:rPr>
        <w:t>效益</w:t>
      </w:r>
      <w:r>
        <w:rPr>
          <w:rFonts w:hint="eastAsia" w:ascii="Times New Roman" w:hAnsi="Times New Roman" w:eastAsia="仿宋_GB2312" w:cs="Times New Roman"/>
          <w:sz w:val="32"/>
          <w:szCs w:val="32"/>
        </w:rPr>
        <w:t>和社会效益</w:t>
      </w:r>
      <w:r>
        <w:rPr>
          <w:rFonts w:ascii="Times New Roman" w:hAnsi="Times New Roman" w:eastAsia="仿宋_GB2312" w:cs="Times New Roman"/>
          <w:sz w:val="32"/>
          <w:szCs w:val="32"/>
        </w:rPr>
        <w:t>。</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㈢配合水务局预防、治理水库径流区水土流失、监测保护水库水质。</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㈣负责所辖水利工程、水资源保护工作。</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㈤负责</w:t>
      </w:r>
      <w:r>
        <w:rPr>
          <w:rFonts w:hint="eastAsia" w:ascii="Times New Roman" w:hAnsi="Times New Roman" w:eastAsia="仿宋_GB2312" w:cs="Times New Roman"/>
          <w:sz w:val="32"/>
          <w:szCs w:val="32"/>
        </w:rPr>
        <w:t>原</w:t>
      </w:r>
      <w:r>
        <w:rPr>
          <w:rFonts w:ascii="Times New Roman" w:hAnsi="Times New Roman" w:eastAsia="仿宋_GB2312" w:cs="Times New Roman"/>
          <w:sz w:val="32"/>
          <w:szCs w:val="32"/>
        </w:rPr>
        <w:t>水供应及其配套设施的管理、运行和维护。</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㈥按规定征收农业水费。</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㈦完成市委、市政府和上级部门交办的事宜。</w:t>
      </w:r>
    </w:p>
    <w:p>
      <w:pPr>
        <w:pStyle w:val="9"/>
        <w:numPr>
          <w:ilvl w:val="-1"/>
          <w:numId w:val="0"/>
        </w:numPr>
        <w:ind w:left="0"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部门预算单位构成</w:t>
      </w:r>
    </w:p>
    <w:p>
      <w:pPr>
        <w:pStyle w:val="9"/>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r>
        <w:rPr>
          <w:rFonts w:hint="eastAsia" w:ascii="Times New Roman" w:hAnsi="Times New Roman" w:eastAsia="仿宋_GB2312" w:cs="Times New Roman"/>
          <w:sz w:val="32"/>
          <w:szCs w:val="32"/>
        </w:rPr>
        <w:t>设置7个内设机构，分别是办公室、工程股、调度股、财务股、水政队、林旺所、新民管理所。</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年预算表</w:t>
      </w:r>
    </w:p>
    <w:p>
      <w:pPr>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第三部分三亚市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年预算情况说明</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年财政拨款收支预算情况的总体说明</w:t>
      </w:r>
    </w:p>
    <w:p>
      <w:pPr>
        <w:pStyle w:val="9"/>
        <w:numPr>
          <w:ilvl w:val="255"/>
          <w:numId w:val="0"/>
        </w:numPr>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万元。其中，收入总计</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万元，包括一般公共预算本年收入</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，上年结转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万元，政府性基金预算本年收入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万元、上年结转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；支出总计</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万元，包括农林水支出</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w:t>
      </w:r>
    </w:p>
    <w:p>
      <w:pPr>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二、关于三亚市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（一）一般公共预算当年规模变化情况</w:t>
      </w:r>
    </w:p>
    <w:p>
      <w:pPr>
        <w:pStyle w:val="9"/>
        <w:numPr>
          <w:ilvl w:val="255"/>
          <w:numId w:val="0"/>
        </w:num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三亚市赤田水库供水灌溉工程管理处2023年一般公共预算当年拨款385万元，与上年预算增加10万元，主要是增加水库流域政治指挥部专项整治。</w:t>
      </w:r>
    </w:p>
    <w:p>
      <w:pPr>
        <w:ind w:firstLine="640"/>
        <w:jc w:val="left"/>
        <w:rPr>
          <w:rFonts w:ascii="仿宋" w:hAnsi="仿宋" w:eastAsia="仿宋" w:cs="仿宋"/>
          <w:sz w:val="32"/>
          <w:szCs w:val="32"/>
        </w:rPr>
      </w:pPr>
      <w:r>
        <w:rPr>
          <w:rFonts w:hint="eastAsia" w:ascii="仿宋" w:hAnsi="仿宋" w:eastAsia="仿宋" w:cs="仿宋"/>
          <w:sz w:val="32"/>
          <w:szCs w:val="32"/>
        </w:rPr>
        <w:t>（二）一般公共预算当年拨款结构情况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万元，占100%。</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（三）一般公共预算当年拨款具体使用情况</w:t>
      </w:r>
    </w:p>
    <w:p>
      <w:pPr>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农林水（类）水利（款）水利工程运行与维护（项）2023年预算数为375万元，与上年预算与持平。</w:t>
      </w:r>
    </w:p>
    <w:p>
      <w:pPr>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农林水（类）水利（款）水资源节约管理与保护（项）2023年预算数为10万元，与上年预算与上年预算增加10万元，主要是增加水库流域政治指挥部专项整治。</w:t>
      </w:r>
    </w:p>
    <w:p>
      <w:pPr>
        <w:ind w:firstLine="640"/>
        <w:rPr>
          <w:rFonts w:ascii="Times New Roman" w:hAnsi="Times New Roman" w:eastAsia="黑体" w:cs="Times New Roman"/>
          <w:sz w:val="32"/>
          <w:szCs w:val="32"/>
        </w:rPr>
      </w:pPr>
      <w:r>
        <w:rPr>
          <w:rFonts w:ascii="Times New Roman" w:hAnsi="Times New Roman" w:eastAsia="黑体" w:cs="Times New Roman"/>
          <w:sz w:val="32"/>
          <w:szCs w:val="32"/>
        </w:rPr>
        <w:t>三、关于三亚市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年一般公共预算基本支出情况说明</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rPr>
        <w:t>290</w:t>
      </w:r>
      <w:r>
        <w:rPr>
          <w:rFonts w:ascii="Times New Roman" w:hAnsi="Times New Roman" w:eastAsia="仿宋_GB2312" w:cs="Times New Roman"/>
          <w:sz w:val="32"/>
          <w:szCs w:val="32"/>
        </w:rPr>
        <w:t>万元，其中：</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290</w:t>
      </w:r>
      <w:r>
        <w:rPr>
          <w:rFonts w:ascii="Times New Roman" w:hAnsi="Times New Roman" w:eastAsia="仿宋_GB2312" w:cs="Times New Roman"/>
          <w:sz w:val="32"/>
          <w:szCs w:val="32"/>
        </w:rPr>
        <w:t>万元，主要包括：基本工资。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万元，主要包括：</w:t>
      </w:r>
      <w:r>
        <w:rPr>
          <w:rFonts w:hint="eastAsia" w:ascii="仿宋_GB2312" w:hAnsi="黑体" w:eastAsia="仿宋_GB2312"/>
          <w:sz w:val="32"/>
          <w:szCs w:val="32"/>
        </w:rPr>
        <w:t>其他社会保障缴费、办公费、会议费、培训费、工会经费、福利费和其他商品和服务支出。</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四、三亚市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w:t>
      </w:r>
      <w:r>
        <w:rPr>
          <w:rFonts w:hint="eastAsia" w:ascii="Times New Roman" w:hAnsi="Times New Roman" w:eastAsia="黑体" w:cs="Times New Roman"/>
          <w:sz w:val="32"/>
          <w:shd w:val="clear" w:color="auto" w:fill="FFFFFF"/>
          <w:lang w:eastAsia="zh-CN"/>
        </w:rPr>
        <w:t>单位</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年“三公”经费预算情况说明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Times New Roman" w:hAnsi="Times New Roman" w:eastAsia="仿宋_GB2312" w:cs="Times New Roman"/>
          <w:sz w:val="32"/>
          <w:shd w:val="clear" w:color="auto" w:fill="FFFFFF"/>
        </w:rPr>
        <w:t>三亚市赤田水库供水灌溉工程管理处</w:t>
      </w:r>
      <w:r>
        <w:rPr>
          <w:rFonts w:hint="eastAsia" w:ascii="Times New Roman" w:hAnsi="Times New Roman" w:eastAsia="仿宋_GB2312" w:cs="Times New Roman"/>
          <w:sz w:val="32"/>
          <w:shd w:val="clear" w:color="auto" w:fill="FFFFFF"/>
          <w:lang w:eastAsia="zh-CN"/>
        </w:rPr>
        <w:t>单位</w:t>
      </w:r>
      <w:r>
        <w:rPr>
          <w:rFonts w:hint="eastAsia" w:ascii="Times New Roman" w:hAnsi="Times New Roman" w:eastAsia="仿宋_GB2312" w:cs="Times New Roman"/>
          <w:sz w:val="32"/>
          <w:shd w:val="clear" w:color="auto" w:fill="FFFFFF"/>
        </w:rPr>
        <w:t>2</w:t>
      </w:r>
      <w:r>
        <w:rPr>
          <w:rFonts w:hint="eastAsia" w:ascii="仿宋_GB2312" w:hAnsi="黑体" w:eastAsia="仿宋_GB2312"/>
          <w:sz w:val="32"/>
          <w:szCs w:val="32"/>
        </w:rPr>
        <w:t>023年一般公共预算“三公”经费预算数为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ascii="Times New Roman" w:hAnsi="Times New Roman" w:eastAsia="仿宋_GB2312" w:cs="Times New Roman"/>
          <w:sz w:val="32"/>
          <w:szCs w:val="32"/>
          <w:shd w:val="clear" w:color="auto" w:fill="FFFFFF"/>
        </w:rPr>
        <w:t>出国（境）团组：目的地无，人数为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人，天数为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天，主要任务无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主要原因包括：厉行节约</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Times New Roman" w:hAnsi="Times New Roman" w:eastAsia="仿宋_GB2312" w:cs="Times New Roman"/>
          <w:sz w:val="32"/>
          <w:shd w:val="clear" w:color="auto" w:fill="FFFFFF"/>
        </w:rPr>
        <w:t>三亚市赤田水库供水灌溉工程管理处20</w:t>
      </w:r>
      <w:r>
        <w:rPr>
          <w:rFonts w:hint="eastAsia" w:ascii="仿宋_GB2312" w:hAnsi="黑体" w:eastAsia="仿宋_GB2312"/>
          <w:sz w:val="32"/>
          <w:szCs w:val="32"/>
        </w:rPr>
        <w:t>23年政府性基金预算“三公”经费预算数为0万元，其中：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2023年无出国计划安排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五、关于三亚市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三亚市赤田水库供水灌溉工程管理处</w:t>
      </w:r>
      <w:r>
        <w:rPr>
          <w:rFonts w:hint="eastAsia" w:ascii="仿宋_GB2312" w:hAnsi="黑体" w:eastAsia="仿宋_GB2312"/>
          <w:sz w:val="32"/>
          <w:szCs w:val="32"/>
          <w:lang w:eastAsia="zh-CN"/>
        </w:rPr>
        <w:t>单位</w:t>
      </w:r>
      <w:r>
        <w:rPr>
          <w:rFonts w:hint="eastAsia" w:ascii="仿宋_GB2312" w:hAnsi="黑体" w:eastAsia="仿宋_GB2312"/>
          <w:sz w:val="32"/>
          <w:szCs w:val="32"/>
        </w:rPr>
        <w:t>2023年政府性基金预算当年拨款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科学技术支出（类）核电站乏燃料处理处置基金支出（款）乏燃料运输（项）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万元，比上年预算数持平。</w:t>
      </w:r>
    </w:p>
    <w:p>
      <w:pPr>
        <w:ind w:firstLine="640" w:firstLineChars="200"/>
        <w:rPr>
          <w:rFonts w:ascii="仿宋_GB2312" w:hAnsi="黑体" w:eastAsia="仿宋_GB2312"/>
          <w:sz w:val="32"/>
          <w:szCs w:val="32"/>
        </w:rPr>
        <w:pPrChange w:id="0" w:author="Administrator" w:date="2024-07-17T09:09:31Z">
          <w:pPr>
            <w:ind w:firstLine="640" w:firstLineChars="200"/>
          </w:pPr>
        </w:pPrChange>
      </w:pPr>
      <w:r>
        <w:rPr>
          <w:rFonts w:hint="eastAsia" w:ascii="仿宋_GB2312" w:hAnsi="仿宋_GB2312" w:eastAsia="仿宋_GB2312" w:cs="仿宋_GB2312"/>
          <w:sz w:val="32"/>
          <w:szCs w:val="32"/>
        </w:rPr>
        <w:t>2. 科学技术支出（类）核电站乏燃料处理处置基金支出（款）乏燃料离堆贮存（项）</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万元，比上年预算数持平。</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六、关于三亚市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w:t>
      </w:r>
      <w:r>
        <w:rPr>
          <w:rFonts w:hint="eastAsia" w:ascii="Times New Roman" w:hAnsi="Times New Roman" w:eastAsia="黑体" w:cs="Times New Roman"/>
          <w:sz w:val="32"/>
          <w:shd w:val="clear" w:color="auto" w:fill="FFFFFF"/>
          <w:lang w:eastAsia="zh-CN"/>
        </w:rPr>
        <w:t>单位</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年收支预算情况的总体说明</w:t>
      </w:r>
    </w:p>
    <w:p>
      <w:pPr>
        <w:ind w:firstLine="640" w:firstLineChars="200"/>
        <w:rPr>
          <w:rFonts w:ascii="Times New Roman" w:hAnsi="Times New Roman" w:cs="Times New Roman"/>
          <w:b/>
          <w:bCs/>
          <w:kern w:val="0"/>
          <w:sz w:val="22"/>
        </w:rPr>
      </w:pPr>
      <w:r>
        <w:rPr>
          <w:rFonts w:ascii="Times New Roman" w:hAnsi="Times New Roman" w:eastAsia="仿宋_GB2312" w:cs="Times New Roman"/>
          <w:sz w:val="32"/>
          <w:szCs w:val="32"/>
        </w:rPr>
        <w:t>按照综合预算原则，三亚市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工程管理处所有收入和支出均纳入部门预算管理。收入包括：一般公共预算收入、事业收入、其他收入</w:t>
      </w:r>
      <w:r>
        <w:rPr>
          <w:rFonts w:hint="eastAsia" w:ascii="Times New Roman" w:hAnsi="Times New Roman" w:eastAsia="仿宋_GB2312" w:cs="Times New Roman"/>
          <w:sz w:val="32"/>
          <w:szCs w:val="32"/>
        </w:rPr>
        <w:t>、上年结转</w:t>
      </w:r>
      <w:r>
        <w:rPr>
          <w:rFonts w:ascii="Times New Roman" w:hAnsi="Times New Roman" w:eastAsia="仿宋_GB2312" w:cs="Times New Roman"/>
          <w:sz w:val="32"/>
          <w:szCs w:val="32"/>
        </w:rPr>
        <w:t>；支出包括：社会保障和就业支出、农林水支出、住房保障支出</w:t>
      </w:r>
      <w:r>
        <w:rPr>
          <w:rFonts w:hint="eastAsia" w:ascii="Times New Roman" w:hAnsi="Times New Roman" w:eastAsia="仿宋_GB2312" w:cs="Times New Roman"/>
          <w:sz w:val="32"/>
          <w:szCs w:val="32"/>
        </w:rPr>
        <w:t>、结转下年</w:t>
      </w: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rPr>
        <w:t>4,371.18</w:t>
      </w:r>
      <w:r>
        <w:rPr>
          <w:rFonts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七、关于</w:t>
      </w:r>
      <w:r>
        <w:rPr>
          <w:rFonts w:hint="eastAsia" w:ascii="Times New Roman" w:hAnsi="Times New Roman" w:eastAsia="黑体" w:cs="Times New Roman"/>
          <w:sz w:val="32"/>
          <w:szCs w:val="32"/>
        </w:rPr>
        <w:t>三亚市赤田水库供水灌溉工程管理处</w:t>
      </w:r>
      <w:r>
        <w:rPr>
          <w:rFonts w:hint="eastAsia" w:ascii="Times New Roman" w:hAnsi="Times New Roman" w:eastAsia="黑体" w:cs="Times New Roman"/>
          <w:sz w:val="32"/>
          <w:szCs w:val="32"/>
          <w:lang w:eastAsia="zh-CN"/>
        </w:rPr>
        <w:t>单位</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hd w:val="clear" w:color="auto" w:fill="FFFFFF"/>
        </w:rPr>
        <w:t>年收入预算情况说明</w:t>
      </w:r>
    </w:p>
    <w:p>
      <w:pPr>
        <w:ind w:firstLine="640" w:firstLineChars="200"/>
        <w:rPr>
          <w:rFonts w:ascii="Times New Roman" w:hAnsi="Times New Roman" w:cs="Times New Roman"/>
          <w:kern w:val="0"/>
          <w:sz w:val="2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rPr>
        <w:t>4,371.18</w:t>
      </w:r>
      <w:r>
        <w:rPr>
          <w:rFonts w:ascii="Times New Roman" w:hAnsi="Times New Roman" w:eastAsia="仿宋_GB2312" w:cs="Times New Roman"/>
          <w:sz w:val="32"/>
          <w:szCs w:val="32"/>
        </w:rPr>
        <w:t>万元，其中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上年结转</w:t>
      </w:r>
      <w:r>
        <w:rPr>
          <w:rFonts w:hint="eastAsia" w:ascii="Times New Roman" w:hAnsi="Times New Roman" w:eastAsia="仿宋" w:cs="Times New Roman"/>
          <w:kern w:val="0"/>
          <w:sz w:val="32"/>
          <w:szCs w:val="32"/>
        </w:rPr>
        <w:t>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0.48</w:t>
      </w:r>
      <w:r>
        <w:rPr>
          <w:rFonts w:ascii="Times New Roman" w:hAnsi="Times New Roman" w:eastAsia="仿宋_GB2312" w:cs="Times New Roman"/>
          <w:sz w:val="32"/>
          <w:szCs w:val="32"/>
        </w:rPr>
        <w:t>%；一般公共预算收入</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8.80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事业收入</w:t>
      </w:r>
      <w:r>
        <w:rPr>
          <w:rFonts w:hint="eastAsia" w:ascii="Times New Roman" w:hAnsi="Times New Roman" w:eastAsia="仿宋" w:cs="Times New Roman"/>
          <w:kern w:val="0"/>
          <w:sz w:val="32"/>
          <w:szCs w:val="32"/>
        </w:rPr>
        <w:t>3,902.50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89.27</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63.68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1.45</w:t>
      </w:r>
      <w:r>
        <w:rPr>
          <w:rFonts w:ascii="Times New Roman" w:hAnsi="Times New Roman" w:eastAsia="仿宋_GB2312" w:cs="Times New Roman"/>
          <w:sz w:val="32"/>
          <w:szCs w:val="32"/>
        </w:rPr>
        <w:t>%。比上年预算数</w:t>
      </w:r>
      <w:r>
        <w:rPr>
          <w:rFonts w:hint="eastAsia" w:ascii="仿宋_GB2312" w:hAnsi="黑体" w:eastAsia="仿宋_GB2312" w:cs="仿宋_GB2312"/>
          <w:sz w:val="32"/>
          <w:szCs w:val="32"/>
        </w:rPr>
        <w:t>减少</w:t>
      </w:r>
      <w:r>
        <w:rPr>
          <w:rFonts w:hint="eastAsia" w:ascii="Times New Roman" w:hAnsi="Times New Roman" w:eastAsia="仿宋_GB2312" w:cs="Times New Roman"/>
          <w:sz w:val="32"/>
          <w:szCs w:val="32"/>
        </w:rPr>
        <w:t>718.82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上年结转减少</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八、关于三亚市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年支出预算情况说明</w:t>
      </w:r>
    </w:p>
    <w:p>
      <w:pPr>
        <w:ind w:firstLine="640" w:firstLineChars="200"/>
        <w:rPr>
          <w:rFonts w:ascii="Times New Roman" w:hAnsi="Times New Roman" w:cs="Times New Roman"/>
          <w:b/>
          <w:bCs/>
          <w:kern w:val="0"/>
          <w:sz w:val="2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rPr>
        <w:t>4,134.82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1554.54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37.59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2580.28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62.41</w:t>
      </w:r>
      <w:r>
        <w:rPr>
          <w:rFonts w:ascii="Times New Roman" w:hAnsi="Times New Roman" w:eastAsia="仿宋_GB2312" w:cs="Times New Roman"/>
          <w:sz w:val="32"/>
          <w:szCs w:val="32"/>
        </w:rPr>
        <w:t>%。比上年预算数增加</w:t>
      </w:r>
      <w:r>
        <w:rPr>
          <w:rFonts w:hint="eastAsia" w:ascii="Times New Roman" w:hAnsi="Times New Roman" w:eastAsia="仿宋_GB2312" w:cs="Times New Roman"/>
          <w:sz w:val="32"/>
          <w:szCs w:val="32"/>
        </w:rPr>
        <w:t>1157.07</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水库年代已久进行设备设施改造</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（一）机关运行经费</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r>
        <w:rPr>
          <w:rFonts w:hint="eastAsia" w:ascii="Times New Roman" w:hAnsi="Times New Roman" w:eastAsia="仿宋_GB2312" w:cs="Times New Roman"/>
          <w:sz w:val="32"/>
          <w:szCs w:val="32"/>
        </w:rPr>
        <w:t>的机关运行经费0万元。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（二）政府采购情况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政府采购预算总额</w:t>
      </w:r>
      <w:r>
        <w:rPr>
          <w:rFonts w:hint="eastAsia" w:ascii="Times New Roman" w:hAnsi="Times New Roman" w:eastAsia="仿宋_GB2312" w:cs="Times New Roman"/>
          <w:sz w:val="32"/>
          <w:szCs w:val="32"/>
        </w:rPr>
        <w:t>15.9</w:t>
      </w:r>
      <w:r>
        <w:rPr>
          <w:rFonts w:ascii="Times New Roman" w:hAnsi="Times New Roman" w:eastAsia="仿宋_GB2312" w:cs="Times New Roman"/>
          <w:sz w:val="32"/>
          <w:szCs w:val="32"/>
        </w:rPr>
        <w:t>万元，其中：政府采购货物预算</w:t>
      </w:r>
      <w:r>
        <w:rPr>
          <w:rFonts w:hint="eastAsia" w:ascii="Times New Roman" w:hAnsi="Times New Roman" w:eastAsia="仿宋_GB2312" w:cs="Times New Roman"/>
          <w:sz w:val="32"/>
          <w:szCs w:val="32"/>
        </w:rPr>
        <w:t>15.9</w:t>
      </w:r>
      <w:r>
        <w:rPr>
          <w:rFonts w:ascii="Times New Roman" w:hAnsi="Times New Roman" w:eastAsia="仿宋_GB2312" w:cs="Times New Roman"/>
          <w:sz w:val="32"/>
          <w:szCs w:val="32"/>
        </w:rPr>
        <w:t>万元，政府采购工程预算0万元，政府采购服务预算0万元。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（三）国有资产占有使用情况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年12月31日，三亚市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工程管理处单位共有车辆</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辆，其中，领导干部用车0辆，机要通信应急用车0辆、一般执法执勤用车0辆、特种专业技术用车0辆、其他用车</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辆。单位价值100万元以上设备0台（套）。</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（四）绩效目标设置情况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bookmarkStart w:id="0" w:name="_GoBack"/>
      <w:bookmarkEnd w:id="0"/>
      <w:r>
        <w:rPr>
          <w:rFonts w:hint="eastAsia" w:ascii="Times New Roman" w:hAnsi="Times New Roman" w:eastAsia="仿宋_GB2312" w:cs="Times New Roman"/>
          <w:sz w:val="32"/>
          <w:szCs w:val="32"/>
        </w:rPr>
        <w:t>16</w:t>
      </w:r>
      <w:r>
        <w:rPr>
          <w:rFonts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；政府性基金</w:t>
      </w:r>
      <w:r>
        <w:rPr>
          <w:rFonts w:hint="eastAsia" w:ascii="Times New Roman" w:hAnsi="Times New Roman" w:eastAsia="仿宋_GB2312" w:cs="Times New Roman"/>
          <w:sz w:val="32"/>
          <w:szCs w:val="32"/>
          <w:lang w:val="en-US" w:eastAsia="zh-CN"/>
        </w:rPr>
        <w:t>0万元；</w:t>
      </w:r>
      <w:r>
        <w:rPr>
          <w:rFonts w:hint="eastAsia" w:ascii="Times New Roman" w:hAnsi="Times New Roman" w:eastAsia="仿宋_GB2312" w:cs="Times New Roman"/>
          <w:sz w:val="32"/>
          <w:szCs w:val="32"/>
        </w:rPr>
        <w:t>单位自有资金3749.81</w:t>
      </w:r>
      <w:r>
        <w:rPr>
          <w:rFonts w:ascii="Times New Roman" w:hAnsi="Times New Roman" w:eastAsia="仿宋_GB2312" w:cs="Times New Roman"/>
          <w:sz w:val="32"/>
          <w:szCs w:val="32"/>
        </w:rPr>
        <w:t>万元。</w:t>
      </w: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第四部分  名词解释</w:t>
      </w:r>
    </w:p>
    <w:p>
      <w:pPr>
        <w:ind w:firstLine="640" w:firstLineChars="200"/>
        <w:jc w:val="left"/>
        <w:rPr>
          <w:rFonts w:ascii="Times New Roman" w:hAnsi="Times New Roman" w:eastAsia="仿宋_GB2312" w:cs="Times New Roman"/>
          <w:bCs/>
          <w:color w:val="000000"/>
          <w:kern w:val="0"/>
          <w:sz w:val="32"/>
          <w:szCs w:val="32"/>
          <w:lang w:val="zh-CN"/>
        </w:rPr>
      </w:pP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2C125F"/>
    <w:rsid w:val="00067815"/>
    <w:rsid w:val="000B7DD5"/>
    <w:rsid w:val="000D08EA"/>
    <w:rsid w:val="000E65F6"/>
    <w:rsid w:val="00102C8A"/>
    <w:rsid w:val="00161941"/>
    <w:rsid w:val="001A4D40"/>
    <w:rsid w:val="002912BA"/>
    <w:rsid w:val="00295B0A"/>
    <w:rsid w:val="002F4427"/>
    <w:rsid w:val="00352378"/>
    <w:rsid w:val="00381D48"/>
    <w:rsid w:val="003B7EA1"/>
    <w:rsid w:val="003E3FCC"/>
    <w:rsid w:val="0046297E"/>
    <w:rsid w:val="00475E9A"/>
    <w:rsid w:val="00491AE8"/>
    <w:rsid w:val="004A0FBF"/>
    <w:rsid w:val="004B2CA2"/>
    <w:rsid w:val="004C6254"/>
    <w:rsid w:val="004E4080"/>
    <w:rsid w:val="00500EFC"/>
    <w:rsid w:val="00551497"/>
    <w:rsid w:val="005A4930"/>
    <w:rsid w:val="005E32D0"/>
    <w:rsid w:val="005E7FAB"/>
    <w:rsid w:val="006273C9"/>
    <w:rsid w:val="00630432"/>
    <w:rsid w:val="00694D06"/>
    <w:rsid w:val="00780AA8"/>
    <w:rsid w:val="0079554F"/>
    <w:rsid w:val="007B1240"/>
    <w:rsid w:val="00800145"/>
    <w:rsid w:val="008023DE"/>
    <w:rsid w:val="00825C56"/>
    <w:rsid w:val="008A266E"/>
    <w:rsid w:val="008F2CA2"/>
    <w:rsid w:val="00903ACA"/>
    <w:rsid w:val="0091184F"/>
    <w:rsid w:val="00911CBA"/>
    <w:rsid w:val="0091583B"/>
    <w:rsid w:val="009361C9"/>
    <w:rsid w:val="009462C5"/>
    <w:rsid w:val="00966E51"/>
    <w:rsid w:val="00995F28"/>
    <w:rsid w:val="009D6011"/>
    <w:rsid w:val="009D6C45"/>
    <w:rsid w:val="009E12CA"/>
    <w:rsid w:val="009E4E28"/>
    <w:rsid w:val="00A425F4"/>
    <w:rsid w:val="00AB7DB8"/>
    <w:rsid w:val="00AD2A33"/>
    <w:rsid w:val="00B35662"/>
    <w:rsid w:val="00B8464D"/>
    <w:rsid w:val="00BC7B02"/>
    <w:rsid w:val="00BE24B3"/>
    <w:rsid w:val="00BF45FD"/>
    <w:rsid w:val="00C05267"/>
    <w:rsid w:val="00C2474B"/>
    <w:rsid w:val="00C43236"/>
    <w:rsid w:val="00C92890"/>
    <w:rsid w:val="00CA5E47"/>
    <w:rsid w:val="00CC136E"/>
    <w:rsid w:val="00CD7632"/>
    <w:rsid w:val="00D20B44"/>
    <w:rsid w:val="00DF0B15"/>
    <w:rsid w:val="00DF5CCC"/>
    <w:rsid w:val="00E03080"/>
    <w:rsid w:val="00E6189A"/>
    <w:rsid w:val="00EA394E"/>
    <w:rsid w:val="00F3041A"/>
    <w:rsid w:val="00FC509C"/>
    <w:rsid w:val="00FF472D"/>
    <w:rsid w:val="01461FB2"/>
    <w:rsid w:val="01933CD9"/>
    <w:rsid w:val="0303559D"/>
    <w:rsid w:val="044435E7"/>
    <w:rsid w:val="0F136896"/>
    <w:rsid w:val="0F5138AC"/>
    <w:rsid w:val="0FD339FC"/>
    <w:rsid w:val="11566F20"/>
    <w:rsid w:val="14611CBA"/>
    <w:rsid w:val="14D70F39"/>
    <w:rsid w:val="167F7054"/>
    <w:rsid w:val="170A774D"/>
    <w:rsid w:val="17FE710C"/>
    <w:rsid w:val="19D24044"/>
    <w:rsid w:val="1D2D4C39"/>
    <w:rsid w:val="210E7AEC"/>
    <w:rsid w:val="21C92F34"/>
    <w:rsid w:val="22506B85"/>
    <w:rsid w:val="22BF3721"/>
    <w:rsid w:val="235D6479"/>
    <w:rsid w:val="248179ED"/>
    <w:rsid w:val="24B12377"/>
    <w:rsid w:val="2B8634B0"/>
    <w:rsid w:val="32FC0291"/>
    <w:rsid w:val="335B75AD"/>
    <w:rsid w:val="362C125F"/>
    <w:rsid w:val="38F11014"/>
    <w:rsid w:val="3965738D"/>
    <w:rsid w:val="3AFF0951"/>
    <w:rsid w:val="3DA41408"/>
    <w:rsid w:val="3DAC6AC6"/>
    <w:rsid w:val="3E8F6CC2"/>
    <w:rsid w:val="3EAA3334"/>
    <w:rsid w:val="3F8E50C5"/>
    <w:rsid w:val="40191C4C"/>
    <w:rsid w:val="40353D1F"/>
    <w:rsid w:val="445B28D9"/>
    <w:rsid w:val="46205C0B"/>
    <w:rsid w:val="46E334E0"/>
    <w:rsid w:val="48F301FF"/>
    <w:rsid w:val="4B9A4B45"/>
    <w:rsid w:val="4C256928"/>
    <w:rsid w:val="4D413D00"/>
    <w:rsid w:val="545324FE"/>
    <w:rsid w:val="55000805"/>
    <w:rsid w:val="566B665C"/>
    <w:rsid w:val="573E006E"/>
    <w:rsid w:val="592910DA"/>
    <w:rsid w:val="5AD56096"/>
    <w:rsid w:val="5B8242CE"/>
    <w:rsid w:val="5BC3438F"/>
    <w:rsid w:val="5C1F021E"/>
    <w:rsid w:val="5D584656"/>
    <w:rsid w:val="5E28069C"/>
    <w:rsid w:val="5E413CB0"/>
    <w:rsid w:val="5F8772C8"/>
    <w:rsid w:val="63A12EC2"/>
    <w:rsid w:val="63DA449E"/>
    <w:rsid w:val="65AB0EF8"/>
    <w:rsid w:val="6A0C452D"/>
    <w:rsid w:val="6BE85044"/>
    <w:rsid w:val="6E7C7E38"/>
    <w:rsid w:val="6E996CA6"/>
    <w:rsid w:val="748A65D9"/>
    <w:rsid w:val="76425CAF"/>
    <w:rsid w:val="78035D18"/>
    <w:rsid w:val="78645059"/>
    <w:rsid w:val="7D745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paragraph" w:customStyle="1" w:styleId="9">
    <w:name w:val="列出段落1"/>
    <w:basedOn w:val="1"/>
    <w:qFormat/>
    <w:uiPriority w:val="34"/>
    <w:pPr>
      <w:ind w:firstLine="420" w:firstLineChars="200"/>
    </w:pPr>
  </w:style>
  <w:style w:type="character" w:customStyle="1" w:styleId="10">
    <w:name w:val="页眉 字符"/>
    <w:basedOn w:val="7"/>
    <w:link w:val="4"/>
    <w:qFormat/>
    <w:uiPriority w:val="0"/>
    <w:rPr>
      <w:rFonts w:ascii="Calibri" w:hAnsi="Calibri" w:cs="黑体"/>
      <w:kern w:val="2"/>
      <w:sz w:val="18"/>
      <w:szCs w:val="18"/>
    </w:rPr>
  </w:style>
  <w:style w:type="character" w:customStyle="1" w:styleId="11">
    <w:name w:val="页脚 字符"/>
    <w:basedOn w:val="7"/>
    <w:link w:val="3"/>
    <w:qFormat/>
    <w:uiPriority w:val="0"/>
    <w:rPr>
      <w:rFonts w:ascii="Calibri" w:hAnsi="Calibri" w:cs="黑体"/>
      <w:kern w:val="2"/>
      <w:sz w:val="18"/>
      <w:szCs w:val="18"/>
    </w:rPr>
  </w:style>
  <w:style w:type="character" w:customStyle="1" w:styleId="12">
    <w:name w:val="批注文字 字符"/>
    <w:basedOn w:val="7"/>
    <w:link w:val="2"/>
    <w:qFormat/>
    <w:uiPriority w:val="0"/>
    <w:rPr>
      <w:rFonts w:ascii="Calibri" w:hAnsi="Calibri" w:cs="黑体"/>
      <w:kern w:val="2"/>
      <w:sz w:val="21"/>
      <w:szCs w:val="22"/>
    </w:rPr>
  </w:style>
  <w:style w:type="character" w:customStyle="1" w:styleId="13">
    <w:name w:val="批注主题 字符"/>
    <w:basedOn w:val="12"/>
    <w:link w:val="5"/>
    <w:qFormat/>
    <w:uiPriority w:val="0"/>
    <w:rPr>
      <w:rFonts w:ascii="Calibri" w:hAnsi="Calibri" w:cs="黑体"/>
      <w:b/>
      <w:bCs/>
      <w:kern w:val="2"/>
      <w:sz w:val="21"/>
      <w:szCs w:val="22"/>
    </w:rPr>
  </w:style>
  <w:style w:type="paragraph" w:customStyle="1" w:styleId="14">
    <w:name w:val="Revision"/>
    <w:hidden/>
    <w:unhideWhenUsed/>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55FA6-1854-47F4-92B0-8B542FF154F7}">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10</Pages>
  <Words>578</Words>
  <Characters>3298</Characters>
  <Lines>27</Lines>
  <Paragraphs>7</Paragraphs>
  <TotalTime>4</TotalTime>
  <ScaleCrop>false</ScaleCrop>
  <LinksUpToDate>false</LinksUpToDate>
  <CharactersWithSpaces>3869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2024-07-12T02:34:00Z</dcterms:created>
  <dc:creator>梁伟娴</dc:creator>
  <cp:lastModifiedBy>Administrator</cp:lastModifiedBy>
  <dcterms:modified xsi:type="dcterms:W3CDTF">2024-07-17T01:10:35Z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