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44"/>
          <w:szCs w:val="44"/>
          <w:lang w:val="en-US" w:eastAsia="zh-CN" w:bidi="ar"/>
        </w:rPr>
      </w:pPr>
      <w:r>
        <w:rPr>
          <w:rFonts w:hint="eastAsia" w:ascii="黑体" w:hAnsi="宋体" w:eastAsia="黑体" w:cs="黑体"/>
          <w:kern w:val="2"/>
          <w:sz w:val="44"/>
          <w:szCs w:val="44"/>
          <w:lang w:val="en-US" w:eastAsia="zh-CN" w:bidi="ar"/>
        </w:rPr>
        <w:t xml:space="preserve">  三亚市天涯区</w:t>
      </w:r>
      <w:r>
        <w:rPr>
          <w:rFonts w:hint="eastAsia" w:ascii="黑体" w:hAnsi="ˎ̥" w:eastAsia="黑体" w:cs="黑体"/>
          <w:kern w:val="2"/>
          <w:sz w:val="44"/>
          <w:szCs w:val="44"/>
          <w:lang w:val="en-US" w:eastAsia="zh-CN" w:bidi="ar"/>
        </w:rPr>
        <w:t>环卫所(本级）</w:t>
      </w: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44"/>
          <w:szCs w:val="44"/>
        </w:rPr>
      </w:pPr>
      <w:r>
        <w:rPr>
          <w:rFonts w:hint="eastAsia" w:ascii="黑体" w:hAnsi="ˎ̥" w:eastAsia="黑体" w:cs="黑体"/>
          <w:kern w:val="2"/>
          <w:sz w:val="44"/>
          <w:szCs w:val="44"/>
          <w:lang w:val="en-US" w:eastAsia="zh-CN" w:bidi="ar"/>
        </w:rPr>
        <w:t>2022</w:t>
      </w:r>
      <w:r>
        <w:rPr>
          <w:rFonts w:hint="eastAsia" w:ascii="黑体" w:hAnsi="宋体" w:eastAsia="黑体" w:cs="黑体"/>
          <w:kern w:val="2"/>
          <w:sz w:val="44"/>
          <w:szCs w:val="44"/>
          <w:lang w:val="en-US" w:eastAsia="zh-CN" w:bidi="ar"/>
        </w:rPr>
        <w:t>年度单位决算</w:t>
      </w:r>
    </w:p>
    <w:p>
      <w:pPr>
        <w:keepNext w:val="0"/>
        <w:keepLines w:val="0"/>
        <w:widowControl w:val="0"/>
        <w:suppressLineNumbers w:val="0"/>
        <w:spacing w:before="0" w:beforeAutospacing="0" w:after="0" w:afterAutospacing="0"/>
        <w:ind w:left="0" w:right="0"/>
        <w:jc w:val="center"/>
        <w:rPr>
          <w:rFonts w:hint="eastAsia" w:ascii="黑体" w:hAnsi="ˎ̥" w:eastAsia="黑体" w:cs="黑体"/>
          <w:b/>
          <w:kern w:val="2"/>
          <w:sz w:val="32"/>
          <w:szCs w:val="32"/>
          <w:lang w:val="en-US" w:eastAsia="zh-CN" w:bidi="ar"/>
        </w:rPr>
      </w:pPr>
      <w:r>
        <w:rPr>
          <w:rFonts w:hint="eastAsia" w:ascii="黑体" w:hAnsi="ˎ̥" w:eastAsia="黑体" w:cs="黑体"/>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ˎ̥" w:eastAsia="黑体" w:cs="黑体"/>
          <w:b/>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黑体" w:hAnsi="ˎ̥" w:eastAsia="黑体" w:cs="黑体"/>
          <w:b/>
          <w:kern w:val="2"/>
          <w:sz w:val="32"/>
          <w:szCs w:val="32"/>
          <w:lang w:val="en-US" w:eastAsia="zh-CN" w:bidi="ar"/>
        </w:rPr>
      </w:pPr>
    </w:p>
    <w:p>
      <w:pPr>
        <w:keepNext w:val="0"/>
        <w:keepLines w:val="0"/>
        <w:pageBreakBefore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rPr>
          <w:rFonts w:hint="eastAsia" w:ascii="黑体" w:hAnsi="黑体" w:eastAsia="黑体" w:cs="黑体"/>
          <w:sz w:val="44"/>
          <w:szCs w:val="44"/>
        </w:rPr>
      </w:pPr>
      <w:bookmarkStart w:id="0" w:name="_Toc11440_WPSOffice_Type2"/>
      <w:bookmarkEnd w:id="0"/>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7"/>
        <w:keepNext w:val="0"/>
        <w:keepLines w:val="0"/>
        <w:pageBreakBefore w:val="0"/>
        <w:tabs>
          <w:tab w:val="right" w:leader="dot" w:pos="8306"/>
        </w:tabs>
        <w:kinsoku/>
        <w:wordWrap/>
        <w:overflowPunct/>
        <w:topLinePunct w:val="0"/>
        <w:autoSpaceDE/>
        <w:autoSpaceDN/>
        <w:bidi w:val="0"/>
        <w:adjustRightInd/>
        <w:snapToGrid/>
        <w:spacing w:line="7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_Toc1704_WPSOffice_Level1 </w:instrText>
      </w:r>
      <w:r>
        <w:rPr>
          <w:b w:val="0"/>
          <w:bCs w:val="0"/>
          <w:sz w:val="32"/>
          <w:szCs w:val="32"/>
        </w:rPr>
        <w:fldChar w:fldCharType="separate"/>
      </w:r>
      <w:r>
        <w:rPr>
          <w:rFonts w:hint="eastAsia" w:ascii="黑体" w:hAnsi="ˎ̥" w:eastAsia="黑体"/>
          <w:b w:val="0"/>
          <w:bCs w:val="0"/>
          <w:sz w:val="32"/>
          <w:szCs w:val="32"/>
          <w:lang w:eastAsia="zh-CN"/>
        </w:rPr>
        <w:t>第一部分</w:t>
      </w:r>
      <w:r>
        <w:rPr>
          <w:rFonts w:hint="eastAsia" w:ascii="黑体" w:hAnsi="ˎ̥" w:eastAsia="黑体"/>
          <w:b w:val="0"/>
          <w:bCs w:val="0"/>
          <w:sz w:val="32"/>
          <w:szCs w:val="32"/>
          <w:lang w:val="en-US" w:eastAsia="zh-CN"/>
        </w:rPr>
        <w:t xml:space="preserve">  三亚市天涯区环卫所单位概况</w:t>
      </w:r>
      <w:r>
        <w:rPr>
          <w:b w:val="0"/>
          <w:bCs w:val="0"/>
          <w:sz w:val="32"/>
          <w:szCs w:val="32"/>
        </w:rPr>
        <w:tab/>
      </w:r>
      <w:r>
        <w:rPr>
          <w:rFonts w:hint="eastAsia" w:ascii="仿宋" w:hAnsi="仿宋" w:eastAsia="仿宋" w:cs="仿宋"/>
          <w:b w:val="0"/>
          <w:bCs w:val="0"/>
          <w:sz w:val="32"/>
          <w:szCs w:val="32"/>
          <w:lang w:val="en-US" w:eastAsia="zh-CN"/>
        </w:rPr>
        <w:t>3</w:t>
      </w:r>
      <w:r>
        <w:rPr>
          <w:b w:val="0"/>
          <w:bCs w:val="0"/>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7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_Toc28253_WPSOffice_Level1 </w:instrText>
      </w:r>
      <w:r>
        <w:rPr>
          <w:b w:val="0"/>
          <w:bCs w:val="0"/>
          <w:sz w:val="32"/>
          <w:szCs w:val="32"/>
        </w:rPr>
        <w:fldChar w:fldCharType="separate"/>
      </w: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三亚市天涯区环卫所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2</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w:t>
      </w:r>
      <w:r>
        <w:rPr>
          <w:rFonts w:hint="eastAsia" w:ascii="黑体" w:hAnsi="ˎ̥" w:eastAsia="黑体"/>
          <w:b w:val="0"/>
          <w:bCs w:val="0"/>
          <w:sz w:val="32"/>
          <w:szCs w:val="32"/>
          <w:lang w:eastAsia="zh-CN"/>
        </w:rPr>
        <w:t>公开报表</w:t>
      </w:r>
      <w:r>
        <w:rPr>
          <w:b w:val="0"/>
          <w:bCs w:val="0"/>
          <w:sz w:val="32"/>
          <w:szCs w:val="32"/>
        </w:rPr>
        <w:tab/>
      </w:r>
      <w:r>
        <w:rPr>
          <w:rFonts w:hint="eastAsia" w:ascii="仿宋" w:hAnsi="仿宋" w:eastAsia="仿宋" w:cs="仿宋"/>
          <w:b w:val="0"/>
          <w:bCs w:val="0"/>
          <w:sz w:val="32"/>
          <w:szCs w:val="32"/>
          <w:lang w:val="en-US" w:eastAsia="zh-CN"/>
        </w:rPr>
        <w:t>4</w:t>
      </w:r>
      <w:r>
        <w:rPr>
          <w:b w:val="0"/>
          <w:bCs w:val="0"/>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7"/>
        <w:keepNext w:val="0"/>
        <w:keepLines w:val="0"/>
        <w:pageBreakBefore w:val="0"/>
        <w:tabs>
          <w:tab w:val="right" w:leader="dot" w:pos="8306"/>
        </w:tabs>
        <w:kinsoku/>
        <w:wordWrap/>
        <w:overflowPunct/>
        <w:topLinePunct w:val="0"/>
        <w:autoSpaceDE/>
        <w:autoSpaceDN/>
        <w:bidi w:val="0"/>
        <w:adjustRightInd/>
        <w:snapToGrid/>
        <w:spacing w:line="7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_Toc27590_WPSOffice_Level1 </w:instrText>
      </w:r>
      <w:r>
        <w:rPr>
          <w:b w:val="0"/>
          <w:bCs w:val="0"/>
          <w:sz w:val="32"/>
          <w:szCs w:val="32"/>
        </w:rPr>
        <w:fldChar w:fldCharType="separate"/>
      </w:r>
      <w:r>
        <w:rPr>
          <w:rFonts w:hint="eastAsia" w:ascii="黑体" w:hAnsi="黑体" w:eastAsia="黑体" w:cs="黑体"/>
          <w:b w:val="0"/>
          <w:bCs w:val="0"/>
          <w:sz w:val="32"/>
          <w:szCs w:val="32"/>
          <w:lang w:eastAsia="zh-CN"/>
        </w:rPr>
        <w:t>第三部分</w:t>
      </w:r>
      <w:r>
        <w:rPr>
          <w:rFonts w:hint="eastAsia"/>
          <w:b w:val="0"/>
          <w:bCs w:val="0"/>
          <w:sz w:val="32"/>
          <w:szCs w:val="32"/>
          <w:lang w:val="en-US" w:eastAsia="zh-CN"/>
        </w:rPr>
        <w:t xml:space="preserve">  </w:t>
      </w:r>
      <w:r>
        <w:rPr>
          <w:rFonts w:hint="eastAsia" w:ascii="黑体" w:hAnsi="ˎ̥" w:eastAsia="黑体"/>
          <w:b w:val="0"/>
          <w:bCs w:val="0"/>
          <w:sz w:val="32"/>
          <w:szCs w:val="32"/>
          <w:lang w:val="en-US" w:eastAsia="zh-CN"/>
        </w:rPr>
        <w:t>三亚市天涯区环卫所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2</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r>
        <w:rPr>
          <w:b w:val="0"/>
          <w:bCs w:val="0"/>
          <w:sz w:val="32"/>
          <w:szCs w:val="32"/>
        </w:rPr>
        <w:tab/>
      </w:r>
      <w:r>
        <w:rPr>
          <w:rFonts w:hint="eastAsia"/>
          <w:b w:val="0"/>
          <w:bCs w:val="0"/>
          <w:sz w:val="32"/>
          <w:szCs w:val="32"/>
          <w:lang w:val="en-US" w:eastAsia="zh-CN"/>
        </w:rPr>
        <w:t>4</w:t>
      </w:r>
      <w:r>
        <w:rPr>
          <w:b w:val="0"/>
          <w:bCs w:val="0"/>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lang w:val="en-US" w:eastAsia="zh-CN"/>
        </w:rPr>
        <w:t>支出</w:t>
      </w:r>
      <w:r>
        <w:rPr>
          <w:rFonts w:hint="eastAsia" w:ascii="仿宋" w:hAnsi="仿宋" w:eastAsia="仿宋" w:cs="仿宋"/>
          <w:b w:val="0"/>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rPr>
        <w:t>五</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kern w:val="0"/>
          <w:sz w:val="32"/>
          <w:szCs w:val="32"/>
        </w:rPr>
        <w:t>六</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6"/>
        <w:keepNext w:val="0"/>
        <w:keepLines w:val="0"/>
        <w:pageBreakBefore w:val="0"/>
        <w:numPr>
          <w:ilvl w:val="0"/>
          <w:numId w:val="1"/>
        </w:numPr>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政府性基金</w:t>
      </w:r>
      <w:r>
        <w:rPr>
          <w:rFonts w:hint="eastAsia" w:ascii="仿宋" w:hAnsi="仿宋" w:eastAsia="仿宋" w:cs="仿宋"/>
          <w:b w:val="0"/>
          <w:bCs/>
          <w:sz w:val="32"/>
          <w:szCs w:val="32"/>
        </w:rPr>
        <w:t>预算财政拨款</w:t>
      </w:r>
      <w:r>
        <w:rPr>
          <w:rFonts w:hint="eastAsia" w:ascii="仿宋" w:hAnsi="仿宋" w:eastAsia="仿宋" w:cs="仿宋"/>
          <w:b w:val="0"/>
          <w:bCs/>
          <w:sz w:val="32"/>
          <w:szCs w:val="32"/>
          <w:lang w:eastAsia="zh-CN"/>
        </w:rPr>
        <w:t>收入</w:t>
      </w:r>
      <w:r>
        <w:rPr>
          <w:rFonts w:hint="eastAsia" w:ascii="仿宋" w:hAnsi="仿宋" w:eastAsia="仿宋" w:cs="仿宋"/>
          <w:b w:val="0"/>
          <w:bCs/>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6"/>
        <w:keepNext w:val="0"/>
        <w:keepLines w:val="0"/>
        <w:pageBreakBefore w:val="0"/>
        <w:numPr>
          <w:ilvl w:val="0"/>
          <w:numId w:val="1"/>
        </w:numPr>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国有资本经营</w:t>
      </w:r>
      <w:r>
        <w:rPr>
          <w:rFonts w:hint="eastAsia" w:ascii="仿宋" w:hAnsi="仿宋" w:eastAsia="仿宋" w:cs="仿宋"/>
          <w:b w:val="0"/>
          <w:bCs/>
          <w:sz w:val="32"/>
          <w:szCs w:val="32"/>
        </w:rPr>
        <w:t>预算财政拨款</w:t>
      </w:r>
      <w:r>
        <w:rPr>
          <w:rFonts w:hint="eastAsia" w:ascii="仿宋" w:hAnsi="仿宋" w:eastAsia="仿宋" w:cs="仿宋"/>
          <w:b w:val="0"/>
          <w:bCs/>
          <w:sz w:val="32"/>
          <w:szCs w:val="32"/>
          <w:lang w:eastAsia="zh-CN"/>
        </w:rPr>
        <w:t>收入</w:t>
      </w:r>
      <w:r>
        <w:rPr>
          <w:rFonts w:hint="eastAsia" w:ascii="仿宋" w:hAnsi="仿宋" w:eastAsia="仿宋" w:cs="仿宋"/>
          <w:b w:val="0"/>
          <w:bCs/>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keepNext w:val="0"/>
        <w:keepLines w:val="0"/>
        <w:pageBreakBefore w:val="0"/>
        <w:kinsoku/>
        <w:wordWrap/>
        <w:overflowPunct/>
        <w:topLinePunct w:val="0"/>
        <w:autoSpaceDE/>
        <w:autoSpaceDN/>
        <w:bidi w:val="0"/>
        <w:adjustRightInd/>
        <w:snapToGrid/>
        <w:spacing w:line="760" w:lineRule="exact"/>
        <w:textAlignment w:val="auto"/>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九、</w:t>
      </w:r>
      <w:r>
        <w:rPr>
          <w:rFonts w:hint="eastAsia" w:ascii="仿宋" w:hAnsi="仿宋" w:eastAsia="仿宋" w:cs="仿宋"/>
          <w:b w:val="0"/>
          <w:bCs/>
          <w:w w:val="98"/>
          <w:sz w:val="32"/>
          <w:szCs w:val="32"/>
        </w:rPr>
        <w:t>一般公共预算财政拨款“三公”经费支出决算情况说明</w:t>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pStyle w:val="6"/>
        <w:keepNext w:val="0"/>
        <w:keepLines w:val="0"/>
        <w:pageBreakBefore w:val="0"/>
        <w:tabs>
          <w:tab w:val="right" w:leader="dot" w:pos="8306"/>
        </w:tabs>
        <w:kinsoku/>
        <w:wordWrap/>
        <w:overflowPunct/>
        <w:topLinePunct w:val="0"/>
        <w:autoSpaceDE/>
        <w:autoSpaceDN/>
        <w:bidi w:val="0"/>
        <w:adjustRightInd/>
        <w:snapToGrid/>
        <w:spacing w:line="7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b w:val="0"/>
          <w:bCs/>
          <w:color w:val="auto"/>
          <w:sz w:val="32"/>
          <w:szCs w:val="32"/>
          <w:u w:val="none"/>
          <w:lang w:val="en-US" w:eastAsia="zh-CN"/>
        </w:rPr>
        <w:t>十一</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rPr>
        <w:t>其他重要事项情况说明</w:t>
      </w:r>
      <w:r>
        <w:rPr>
          <w:rFonts w:hint="eastAsia" w:ascii="仿宋" w:hAnsi="仿宋" w:eastAsia="仿宋" w:cs="仿宋"/>
          <w:color w:val="auto"/>
          <w:sz w:val="32"/>
          <w:szCs w:val="32"/>
          <w:u w:val="none"/>
        </w:rPr>
        <w:tab/>
      </w:r>
      <w:r>
        <w:rPr>
          <w:rFonts w:hint="eastAsia" w:ascii="仿宋" w:hAnsi="仿宋" w:eastAsia="仿宋" w:cs="仿宋"/>
          <w:color w:val="auto"/>
          <w:sz w:val="32"/>
          <w:szCs w:val="32"/>
          <w:u w:val="none"/>
          <w:lang w:val="en-US" w:eastAsia="zh-CN"/>
        </w:rPr>
        <w:t>10</w:t>
      </w:r>
    </w:p>
    <w:p>
      <w:pPr>
        <w:pStyle w:val="7"/>
        <w:keepNext w:val="0"/>
        <w:keepLines w:val="0"/>
        <w:pageBreakBefore w:val="0"/>
        <w:tabs>
          <w:tab w:val="right" w:leader="dot" w:pos="8306"/>
        </w:tabs>
        <w:kinsoku/>
        <w:wordWrap/>
        <w:overflowPunct/>
        <w:topLinePunct w:val="0"/>
        <w:autoSpaceDE/>
        <w:autoSpaceDN/>
        <w:bidi w:val="0"/>
        <w:adjustRightInd/>
        <w:snapToGrid/>
        <w:spacing w:line="7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_Toc15425_WPSOffice_Level1 </w:instrText>
      </w:r>
      <w:r>
        <w:rPr>
          <w:b w:val="0"/>
          <w:bCs w:val="0"/>
          <w:sz w:val="32"/>
          <w:szCs w:val="32"/>
        </w:rPr>
        <w:fldChar w:fldCharType="separate"/>
      </w:r>
      <w:r>
        <w:rPr>
          <w:rFonts w:hint="eastAsia" w:ascii="黑体" w:hAnsi="ˎ̥" w:eastAsia="黑体"/>
          <w:b w:val="0"/>
          <w:bCs w:val="0"/>
          <w:sz w:val="32"/>
          <w:szCs w:val="32"/>
          <w:lang w:eastAsia="zh-CN"/>
        </w:rPr>
        <w:t>第四部分</w:t>
      </w:r>
      <w:r>
        <w:rPr>
          <w:rFonts w:hint="eastAsia" w:ascii="黑体" w:hAnsi="ˎ̥" w:eastAsia="黑体"/>
          <w:b w:val="0"/>
          <w:bCs w:val="0"/>
          <w:sz w:val="32"/>
          <w:szCs w:val="32"/>
          <w:lang w:val="en-US" w:eastAsia="zh-CN"/>
        </w:rPr>
        <w:t xml:space="preserve">  </w:t>
      </w:r>
      <w:r>
        <w:rPr>
          <w:rFonts w:hint="eastAsia" w:ascii="黑体" w:hAnsi="ˎ̥" w:eastAsia="黑体"/>
          <w:b w:val="0"/>
          <w:bCs w:val="0"/>
          <w:sz w:val="32"/>
          <w:szCs w:val="32"/>
        </w:rPr>
        <w:t>名词解释</w:t>
      </w:r>
      <w:r>
        <w:rPr>
          <w:b w:val="0"/>
          <w:bCs w:val="0"/>
          <w:sz w:val="32"/>
          <w:szCs w:val="32"/>
        </w:rPr>
        <w:tab/>
      </w:r>
      <w:bookmarkStart w:id="1" w:name="_Toc15425_WPSOffice_Level1Page"/>
      <w:r>
        <w:rPr>
          <w:b w:val="0"/>
          <w:bCs w:val="0"/>
          <w:sz w:val="32"/>
          <w:szCs w:val="32"/>
        </w:rPr>
        <w:t>1</w:t>
      </w:r>
      <w:bookmarkEnd w:id="1"/>
      <w:r>
        <w:rPr>
          <w:b w:val="0"/>
          <w:bCs w:val="0"/>
          <w:sz w:val="32"/>
          <w:szCs w:val="32"/>
        </w:rPr>
        <w:fldChar w:fldCharType="end"/>
      </w:r>
      <w:r>
        <w:rPr>
          <w:rFonts w:hint="eastAsia"/>
          <w:b w:val="0"/>
          <w:bCs w:val="0"/>
          <w:sz w:val="32"/>
          <w:szCs w:val="32"/>
          <w:lang w:val="en-US" w:eastAsia="zh-CN"/>
        </w:rPr>
        <w:t>1</w:t>
      </w:r>
    </w:p>
    <w:p>
      <w:pPr>
        <w:keepNext w:val="0"/>
        <w:keepLines w:val="0"/>
        <w:widowControl w:val="0"/>
        <w:suppressLineNumbers w:val="0"/>
        <w:spacing w:before="0" w:beforeAutospacing="0" w:after="0" w:afterAutospacing="0"/>
        <w:ind w:left="0" w:right="0"/>
        <w:jc w:val="both"/>
        <w:rPr>
          <w:rFonts w:hint="eastAsia" w:ascii="黑体" w:hAnsi="ˎ̥" w:eastAsia="黑体" w:cs="黑体"/>
          <w:b/>
          <w:kern w:val="2"/>
          <w:sz w:val="32"/>
          <w:szCs w:val="32"/>
        </w:rPr>
      </w:pP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32"/>
          <w:szCs w:val="32"/>
        </w:rPr>
      </w:pPr>
      <w:bookmarkStart w:id="2" w:name="_Toc14159_WPSOffice_Level2"/>
      <w:bookmarkEnd w:id="2"/>
      <w:bookmarkStart w:id="3" w:name="_Toc20274_WPSOffice_Level2"/>
      <w:bookmarkEnd w:id="3"/>
      <w:bookmarkStart w:id="4" w:name="_Toc26580_WPSOffice_Level2"/>
      <w:bookmarkEnd w:id="4"/>
      <w:bookmarkStart w:id="5" w:name="_Toc32433_WPSOffice_Level1"/>
      <w:bookmarkEnd w:id="5"/>
      <w:bookmarkStart w:id="6" w:name="_Toc10720_WPSOffice_Level1"/>
      <w:bookmarkEnd w:id="6"/>
      <w:bookmarkStart w:id="7" w:name="_Toc24238_WPSOffice_Level2"/>
      <w:bookmarkEnd w:id="7"/>
      <w:bookmarkStart w:id="8" w:name="_Toc20205_WPSOffice_Level2"/>
      <w:bookmarkEnd w:id="8"/>
      <w:bookmarkStart w:id="9" w:name="_Toc1704_WPSOffice_Level1"/>
      <w:bookmarkEnd w:id="9"/>
      <w:bookmarkStart w:id="10" w:name="_Toc22941_WPSOffice_Level1"/>
      <w:bookmarkEnd w:id="10"/>
      <w:bookmarkStart w:id="11" w:name="_Toc23465_WPSOffice_Level1"/>
      <w:bookmarkEnd w:id="11"/>
      <w:bookmarkStart w:id="12" w:name="_Toc10049_WPSOffice_Level1"/>
      <w:bookmarkEnd w:id="12"/>
      <w:bookmarkStart w:id="13" w:name="_Toc32622_WPSOffice_Level2"/>
      <w:r>
        <w:rPr>
          <w:rFonts w:hint="eastAsia" w:ascii="黑体" w:hAnsi="宋体" w:eastAsia="黑体" w:cs="黑体"/>
          <w:kern w:val="2"/>
          <w:sz w:val="32"/>
          <w:szCs w:val="32"/>
          <w:lang w:val="en-US" w:eastAsia="zh-CN" w:bidi="ar"/>
        </w:rPr>
        <w:t>第一部分</w:t>
      </w:r>
      <w:bookmarkEnd w:id="13"/>
      <w:r>
        <w:rPr>
          <w:rFonts w:hint="eastAsia" w:ascii="黑体" w:hAnsi="ˎ̥" w:eastAsia="黑体" w:cs="黑体"/>
          <w:kern w:val="2"/>
          <w:sz w:val="32"/>
          <w:szCs w:val="32"/>
          <w:lang w:val="en-US" w:eastAsia="zh-CN" w:bidi="ar"/>
        </w:rPr>
        <w:t xml:space="preserve">  </w:t>
      </w:r>
      <w:r>
        <w:rPr>
          <w:rFonts w:hint="eastAsia" w:ascii="黑体" w:hAnsi="ˎ̥" w:eastAsia="黑体" w:cs="黑体"/>
          <w:b w:val="0"/>
          <w:kern w:val="2"/>
          <w:sz w:val="32"/>
          <w:szCs w:val="32"/>
          <w:lang w:val="en-US" w:eastAsia="zh-CN" w:bidi="ar"/>
        </w:rPr>
        <w:t>三亚市天涯区环卫所单位</w:t>
      </w:r>
      <w:r>
        <w:rPr>
          <w:rFonts w:hint="eastAsia" w:ascii="黑体" w:hAnsi="宋体" w:eastAsia="黑体" w:cs="黑体"/>
          <w:kern w:val="2"/>
          <w:sz w:val="32"/>
          <w:szCs w:val="32"/>
          <w:lang w:val="en-US" w:eastAsia="zh-CN" w:bidi="ar"/>
        </w:rPr>
        <w:t>概况</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 xml:space="preserve"> </w:t>
      </w:r>
    </w:p>
    <w:p>
      <w:pPr>
        <w:keepNext w:val="0"/>
        <w:keepLines w:val="0"/>
        <w:widowControl w:val="0"/>
        <w:numPr>
          <w:ilvl w:val="0"/>
          <w:numId w:val="2"/>
        </w:numPr>
        <w:suppressLineNumbers w:val="0"/>
        <w:spacing w:before="0" w:beforeAutospacing="0" w:after="0" w:afterAutospacing="0"/>
        <w:ind w:left="0" w:right="0" w:firstLine="640" w:firstLineChars="20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单位职责</w:t>
      </w:r>
    </w:p>
    <w:p>
      <w:pPr>
        <w:numPr>
          <w:ilvl w:val="0"/>
          <w:numId w:val="0"/>
        </w:num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（一）执行中央及省、市有关环境卫生管理的方针、政策；依法拟定并组织实施有关环境卫生管理的规划和措施；</w:t>
      </w:r>
    </w:p>
    <w:p>
      <w:pPr>
        <w:numPr>
          <w:ilvl w:val="0"/>
          <w:numId w:val="0"/>
        </w:num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（二）组织实施本区环境卫生的检查和宣传工作；组织本区环境卫生行业有关的普查、资源调查评估、统计申报工作；培养、发展和维护本区环境卫生作业市场。</w:t>
      </w:r>
    </w:p>
    <w:p>
      <w:pPr>
        <w:numPr>
          <w:ilvl w:val="0"/>
          <w:numId w:val="0"/>
        </w:num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（三）负责实施本区清扫保洁以及生活垃圾、建筑垃圾、特种垃圾、粪便的收集清运。负责对本区突发应急事件（如台风、大型活动等）环境卫生整治工作；</w:t>
      </w:r>
    </w:p>
    <w:p>
      <w:pPr>
        <w:numPr>
          <w:ilvl w:val="0"/>
          <w:numId w:val="0"/>
        </w:num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（四）对社区（村）和城区主次街道同意保洁，治理“脏乱差”，美化城市环境；</w:t>
      </w:r>
    </w:p>
    <w:p>
      <w:pPr>
        <w:numPr>
          <w:ilvl w:val="0"/>
          <w:numId w:val="0"/>
        </w:num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（五）不定期对各路段、社区（村）的保洁进行监督、巡查，落实各项规章制度，对每路段、社区（村）保洁检查情况进行检查通报；</w:t>
      </w:r>
    </w:p>
    <w:p>
      <w:pPr>
        <w:numPr>
          <w:ilvl w:val="0"/>
          <w:numId w:val="0"/>
        </w:numPr>
        <w:ind w:firstLine="640" w:firstLineChars="200"/>
        <w:rPr>
          <w:rFonts w:hint="eastAsia" w:ascii="黑体" w:hAnsi="宋体" w:eastAsia="黑体" w:cs="黑体"/>
          <w:kern w:val="2"/>
          <w:sz w:val="32"/>
          <w:szCs w:val="32"/>
          <w:lang w:val="en-US" w:eastAsia="zh-CN" w:bidi="ar"/>
        </w:rPr>
      </w:pPr>
      <w:r>
        <w:rPr>
          <w:rFonts w:hint="eastAsia" w:ascii="仿宋_GB2312" w:hAnsi="ˎ̥" w:eastAsia="仿宋_GB2312"/>
          <w:sz w:val="32"/>
          <w:szCs w:val="32"/>
          <w:lang w:eastAsia="zh-CN"/>
        </w:rPr>
        <w:t>（六）承办区委区政府和上级</w:t>
      </w:r>
      <w:r>
        <w:rPr>
          <w:rFonts w:hint="eastAsia" w:ascii="仿宋_GB2312" w:hAnsi="ˎ̥" w:eastAsia="仿宋_GB2312"/>
          <w:sz w:val="32"/>
          <w:szCs w:val="32"/>
          <w:lang w:val="en-US" w:eastAsia="zh-CN"/>
        </w:rPr>
        <w:t>部门</w:t>
      </w:r>
      <w:r>
        <w:rPr>
          <w:rFonts w:hint="eastAsia" w:ascii="仿宋_GB2312" w:hAnsi="ˎ̥" w:eastAsia="仿宋_GB2312"/>
          <w:sz w:val="32"/>
          <w:szCs w:val="32"/>
          <w:lang w:eastAsia="zh-CN"/>
        </w:rPr>
        <w:t>交办的工作。</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kern w:val="2"/>
          <w:sz w:val="32"/>
          <w:szCs w:val="32"/>
        </w:rPr>
      </w:pPr>
      <w:bookmarkStart w:id="14" w:name="_Toc24059_WPSOffice_Level2"/>
      <w:bookmarkEnd w:id="14"/>
      <w:bookmarkStart w:id="15" w:name="_Toc4833_WPSOffice_Level2"/>
      <w:bookmarkEnd w:id="15"/>
      <w:bookmarkStart w:id="16" w:name="_Toc17796_WPSOffice_Level2"/>
      <w:bookmarkEnd w:id="16"/>
      <w:bookmarkStart w:id="17" w:name="_Toc24474_WPSOffice_Level2"/>
      <w:bookmarkEnd w:id="17"/>
      <w:bookmarkStart w:id="18" w:name="_Toc6572_WPSOffice_Level2"/>
      <w:r>
        <w:rPr>
          <w:rFonts w:hint="eastAsia" w:ascii="黑体" w:hAnsi="宋体" w:eastAsia="黑体" w:cs="黑体"/>
          <w:kern w:val="2"/>
          <w:sz w:val="32"/>
          <w:szCs w:val="32"/>
          <w:lang w:val="en-US" w:eastAsia="zh-CN" w:bidi="ar"/>
        </w:rPr>
        <w:t>二、</w:t>
      </w:r>
      <w:bookmarkEnd w:id="18"/>
      <w:r>
        <w:rPr>
          <w:rFonts w:hint="eastAsia" w:ascii="黑体" w:hAnsi="宋体" w:eastAsia="黑体" w:cs="黑体"/>
          <w:kern w:val="2"/>
          <w:sz w:val="32"/>
          <w:szCs w:val="32"/>
          <w:lang w:val="en-US" w:eastAsia="zh-CN" w:bidi="ar"/>
        </w:rPr>
        <w:t>机构设置</w:t>
      </w:r>
    </w:p>
    <w:p>
      <w:pPr>
        <w:ind w:firstLine="640" w:firstLineChars="200"/>
        <w:rPr>
          <w:rFonts w:hint="eastAsia" w:ascii="仿宋_GB2312" w:hAnsi="ˎ̥" w:eastAsia="仿宋_GB2312"/>
          <w:sz w:val="32"/>
          <w:szCs w:val="32"/>
          <w:lang w:eastAsia="zh-CN"/>
        </w:rPr>
      </w:pPr>
      <w:bookmarkStart w:id="19" w:name="_Toc15521_WPSOffice_Level1"/>
      <w:bookmarkEnd w:id="19"/>
      <w:bookmarkStart w:id="20" w:name="_Toc6211_WPSOffice_Level2"/>
      <w:bookmarkEnd w:id="20"/>
      <w:bookmarkStart w:id="21" w:name="_Toc8164_WPSOffice_Level1"/>
      <w:bookmarkEnd w:id="21"/>
      <w:bookmarkStart w:id="22" w:name="_Toc6234_WPSOffice_Level1"/>
      <w:bookmarkEnd w:id="22"/>
      <w:bookmarkStart w:id="23" w:name="_Toc32472_WPSOffice_Level2"/>
      <w:bookmarkEnd w:id="23"/>
      <w:bookmarkStart w:id="24" w:name="_Toc28253_WPSOffice_Level1"/>
      <w:bookmarkEnd w:id="24"/>
      <w:bookmarkStart w:id="25" w:name="_Toc32695_WPSOffice_Level2"/>
      <w:bookmarkEnd w:id="25"/>
      <w:bookmarkStart w:id="26" w:name="_Toc30451_WPSOffice_Level1"/>
      <w:bookmarkEnd w:id="26"/>
      <w:bookmarkStart w:id="27" w:name="_Toc30690_WPSOffice_Level1"/>
      <w:bookmarkEnd w:id="27"/>
      <w:bookmarkStart w:id="28" w:name="_Toc11518_WPSOffice_Level2"/>
      <w:bookmarkEnd w:id="28"/>
      <w:bookmarkStart w:id="29" w:name="_Toc8867_WPSOffice_Level2"/>
      <w:bookmarkEnd w:id="29"/>
      <w:bookmarkStart w:id="30" w:name="_Toc4029_WPSOffice_Level2"/>
      <w:r>
        <w:rPr>
          <w:rFonts w:hint="eastAsia" w:ascii="仿宋_GB2312" w:hAnsi="ˎ̥" w:eastAsia="仿宋_GB2312"/>
          <w:sz w:val="32"/>
          <w:szCs w:val="32"/>
          <w:lang w:eastAsia="zh-CN"/>
        </w:rPr>
        <w:t>三亚市天涯区环卫所为隶属三亚市天涯区人民政府的正科级事业</w:t>
      </w:r>
      <w:r>
        <w:rPr>
          <w:rFonts w:hint="eastAsia" w:ascii="仿宋_GB2312" w:hAnsi="ˎ̥" w:eastAsia="仿宋_GB2312"/>
          <w:sz w:val="32"/>
          <w:szCs w:val="32"/>
          <w:lang w:val="en-US" w:eastAsia="zh-CN"/>
        </w:rPr>
        <w:t>单位</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没有纳入决算编制的二级预算单位。根据单位主要职责，我所内设办公室、财务室、业务室、督察室四个科室以及环卫一队、二队、三队、四队、车队、公厕队等6个基层队</w:t>
      </w:r>
      <w:r>
        <w:rPr>
          <w:rFonts w:hint="eastAsia" w:ascii="仿宋_GB2312" w:hAnsi="ˎ̥" w:eastAsia="仿宋_GB2312"/>
          <w:sz w:val="32"/>
          <w:szCs w:val="32"/>
          <w:lang w:eastAsia="zh-CN"/>
        </w:rPr>
        <w:t>。</w:t>
      </w:r>
    </w:p>
    <w:p>
      <w:pPr>
        <w:ind w:firstLine="640" w:firstLineChars="200"/>
        <w:rPr>
          <w:rFonts w:hint="eastAsia" w:ascii="仿宋_GB2312" w:hAnsi="ˎ̥" w:eastAsia="仿宋_GB2312"/>
          <w:sz w:val="32"/>
          <w:szCs w:val="32"/>
          <w:lang w:eastAsia="zh-CN"/>
        </w:rPr>
      </w:pPr>
    </w:p>
    <w:p>
      <w:pPr>
        <w:keepNext w:val="0"/>
        <w:keepLines w:val="0"/>
        <w:widowControl w:val="0"/>
        <w:suppressLineNumbers w:val="0"/>
        <w:spacing w:before="0" w:beforeAutospacing="0" w:after="0" w:afterAutospacing="0"/>
        <w:ind w:left="0" w:right="0"/>
        <w:jc w:val="center"/>
        <w:rPr>
          <w:rFonts w:hint="eastAsia" w:ascii="黑体" w:hAnsi="ˎ̥" w:eastAsia="黑体" w:cs="黑体"/>
          <w:b w:val="0"/>
          <w:kern w:val="2"/>
          <w:sz w:val="32"/>
          <w:szCs w:val="32"/>
        </w:rPr>
      </w:pPr>
      <w:r>
        <w:rPr>
          <w:rFonts w:hint="eastAsia" w:ascii="黑体" w:hAnsi="宋体" w:eastAsia="黑体" w:cs="黑体"/>
          <w:b w:val="0"/>
          <w:kern w:val="2"/>
          <w:sz w:val="32"/>
          <w:szCs w:val="32"/>
          <w:lang w:val="en-US" w:eastAsia="zh-CN" w:bidi="ar"/>
        </w:rPr>
        <w:t>第二部分</w:t>
      </w:r>
      <w:bookmarkEnd w:id="30"/>
      <w:r>
        <w:rPr>
          <w:rFonts w:hint="eastAsia" w:ascii="黑体" w:hAnsi="ˎ̥" w:eastAsia="黑体" w:cs="黑体"/>
          <w:b w:val="0"/>
          <w:kern w:val="2"/>
          <w:sz w:val="32"/>
          <w:szCs w:val="32"/>
          <w:lang w:val="en-US" w:eastAsia="zh-CN" w:bidi="ar"/>
        </w:rPr>
        <w:t xml:space="preserve">  </w:t>
      </w:r>
      <w:r>
        <w:rPr>
          <w:rFonts w:hint="eastAsia" w:ascii="黑体" w:hAnsi="ˎ̥" w:eastAsia="黑体"/>
          <w:b w:val="0"/>
          <w:bCs w:val="0"/>
          <w:sz w:val="32"/>
          <w:szCs w:val="32"/>
          <w:lang w:val="en-US" w:eastAsia="zh-CN"/>
        </w:rPr>
        <w:t>三亚市天涯区环卫所</w:t>
      </w:r>
      <w:r>
        <w:rPr>
          <w:rFonts w:hint="eastAsia" w:ascii="黑体" w:hAnsi="ˎ̥" w:eastAsia="黑体" w:cs="黑体"/>
          <w:b w:val="0"/>
          <w:kern w:val="2"/>
          <w:sz w:val="32"/>
          <w:szCs w:val="32"/>
          <w:lang w:val="en-US" w:eastAsia="zh-CN" w:bidi="ar"/>
        </w:rPr>
        <w:t>2022</w:t>
      </w:r>
      <w:r>
        <w:rPr>
          <w:rFonts w:hint="eastAsia" w:ascii="黑体" w:hAnsi="宋体" w:eastAsia="黑体" w:cs="黑体"/>
          <w:b w:val="0"/>
          <w:kern w:val="2"/>
          <w:sz w:val="32"/>
          <w:szCs w:val="32"/>
          <w:lang w:val="en-US" w:eastAsia="zh-CN" w:bidi="ar"/>
        </w:rPr>
        <w:t>年度单位决算公开  报表</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一、收入支出决算公开表（见正文附件）。</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bookmarkStart w:id="31" w:name="_Toc28622_WPSOffice_Level2"/>
      <w:bookmarkEnd w:id="31"/>
      <w:bookmarkStart w:id="32" w:name="_Toc26621_WPSOffice_Level2"/>
      <w:bookmarkEnd w:id="32"/>
      <w:bookmarkStart w:id="33" w:name="_Toc23139_WPSOffice_Level2"/>
      <w:bookmarkEnd w:id="33"/>
      <w:bookmarkStart w:id="34" w:name="_Toc25608_WPSOffice_Level2"/>
      <w:bookmarkEnd w:id="34"/>
      <w:bookmarkStart w:id="35" w:name="_Toc30334_WPSOffice_Level2"/>
      <w:bookmarkEnd w:id="35"/>
      <w:bookmarkStart w:id="36" w:name="_Toc14349_WPSOffice_Level2"/>
      <w:r>
        <w:rPr>
          <w:rFonts w:hint="eastAsia" w:ascii="黑体" w:hAnsi="宋体" w:eastAsia="黑体" w:cs="黑体"/>
          <w:kern w:val="2"/>
          <w:sz w:val="32"/>
          <w:szCs w:val="32"/>
          <w:lang w:val="en-US" w:eastAsia="zh-CN" w:bidi="ar"/>
        </w:rPr>
        <w:t>二、</w:t>
      </w:r>
      <w:bookmarkEnd w:id="36"/>
      <w:r>
        <w:rPr>
          <w:rFonts w:hint="eastAsia" w:ascii="黑体" w:hAnsi="宋体" w:eastAsia="黑体" w:cs="黑体"/>
          <w:kern w:val="2"/>
          <w:sz w:val="32"/>
          <w:szCs w:val="32"/>
          <w:lang w:val="en-US" w:eastAsia="zh-CN" w:bidi="ar"/>
        </w:rPr>
        <w:t>收入决算公开表（见正文附件）。</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bookmarkStart w:id="37" w:name="_Toc3262_WPSOffice_Level2"/>
      <w:bookmarkEnd w:id="37"/>
      <w:bookmarkStart w:id="38" w:name="_Toc13854_WPSOffice_Level2"/>
      <w:bookmarkEnd w:id="38"/>
      <w:bookmarkStart w:id="39" w:name="_Toc14658_WPSOffice_Level2"/>
      <w:bookmarkEnd w:id="39"/>
      <w:bookmarkStart w:id="40" w:name="_Toc17626_WPSOffice_Level2"/>
      <w:bookmarkEnd w:id="40"/>
      <w:bookmarkStart w:id="41" w:name="_Toc17858_WPSOffice_Level2"/>
      <w:bookmarkEnd w:id="41"/>
      <w:bookmarkStart w:id="42" w:name="_Toc5489_WPSOffice_Level2"/>
      <w:r>
        <w:rPr>
          <w:rFonts w:hint="eastAsia" w:ascii="黑体" w:hAnsi="宋体" w:eastAsia="黑体" w:cs="黑体"/>
          <w:kern w:val="2"/>
          <w:sz w:val="32"/>
          <w:szCs w:val="32"/>
          <w:lang w:val="en-US" w:eastAsia="zh-CN" w:bidi="ar"/>
        </w:rPr>
        <w:t>三、</w:t>
      </w:r>
      <w:bookmarkEnd w:id="42"/>
      <w:r>
        <w:rPr>
          <w:rFonts w:hint="eastAsia" w:ascii="黑体" w:hAnsi="宋体" w:eastAsia="黑体" w:cs="黑体"/>
          <w:kern w:val="2"/>
          <w:sz w:val="32"/>
          <w:szCs w:val="32"/>
          <w:lang w:val="en-US" w:eastAsia="zh-CN" w:bidi="ar"/>
        </w:rPr>
        <w:t>支出决算公开表（见正文附件）。</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bookmarkStart w:id="43" w:name="_Toc13701_WPSOffice_Level2"/>
      <w:bookmarkEnd w:id="43"/>
      <w:bookmarkStart w:id="44" w:name="_Toc23591_WPSOffice_Level2"/>
      <w:bookmarkEnd w:id="44"/>
      <w:bookmarkStart w:id="45" w:name="_Toc4265_WPSOffice_Level2"/>
      <w:bookmarkEnd w:id="45"/>
      <w:bookmarkStart w:id="46" w:name="_Toc21415_WPSOffice_Level2"/>
      <w:bookmarkEnd w:id="46"/>
      <w:bookmarkStart w:id="47" w:name="_Toc23493_WPSOffice_Level2"/>
      <w:bookmarkEnd w:id="47"/>
      <w:bookmarkStart w:id="48" w:name="_Toc7988_WPSOffice_Level2"/>
      <w:r>
        <w:rPr>
          <w:rFonts w:hint="eastAsia" w:ascii="黑体" w:hAnsi="宋体" w:eastAsia="黑体" w:cs="黑体"/>
          <w:kern w:val="2"/>
          <w:sz w:val="32"/>
          <w:szCs w:val="32"/>
          <w:lang w:val="en-US" w:eastAsia="zh-CN" w:bidi="ar"/>
        </w:rPr>
        <w:t>四</w:t>
      </w:r>
      <w:bookmarkEnd w:id="48"/>
      <w:r>
        <w:rPr>
          <w:rFonts w:hint="eastAsia" w:ascii="黑体" w:hAnsi="宋体" w:eastAsia="黑体" w:cs="黑体"/>
          <w:kern w:val="2"/>
          <w:sz w:val="32"/>
          <w:szCs w:val="32"/>
          <w:lang w:val="en-US" w:eastAsia="zh-CN" w:bidi="ar"/>
        </w:rPr>
        <w:t>、财政拨款收入支出决算公开表（见正文附件）。</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bookmarkStart w:id="49" w:name="_Toc25166_WPSOffice_Level2"/>
      <w:bookmarkEnd w:id="49"/>
      <w:bookmarkStart w:id="50" w:name="_Toc22783_WPSOffice_Level2"/>
      <w:bookmarkEnd w:id="50"/>
      <w:bookmarkStart w:id="51" w:name="_Toc2158_WPSOffice_Level2"/>
      <w:bookmarkEnd w:id="51"/>
      <w:bookmarkStart w:id="52" w:name="_Toc23829_WPSOffice_Level2"/>
      <w:bookmarkEnd w:id="52"/>
      <w:bookmarkStart w:id="53" w:name="_Toc7879_WPSOffice_Level2"/>
      <w:bookmarkEnd w:id="53"/>
      <w:bookmarkStart w:id="54" w:name="_Toc13516_WPSOffice_Level2"/>
      <w:r>
        <w:rPr>
          <w:rFonts w:hint="eastAsia" w:ascii="黑体" w:hAnsi="宋体" w:eastAsia="黑体" w:cs="黑体"/>
          <w:kern w:val="2"/>
          <w:sz w:val="32"/>
          <w:szCs w:val="32"/>
          <w:lang w:val="en-US" w:eastAsia="zh-CN" w:bidi="ar"/>
        </w:rPr>
        <w:t>五、</w:t>
      </w:r>
      <w:bookmarkEnd w:id="54"/>
      <w:r>
        <w:rPr>
          <w:rFonts w:hint="eastAsia" w:ascii="黑体" w:hAnsi="宋体" w:eastAsia="黑体" w:cs="黑体"/>
          <w:kern w:val="2"/>
          <w:sz w:val="32"/>
          <w:szCs w:val="32"/>
          <w:lang w:val="en-US" w:eastAsia="zh-CN" w:bidi="ar"/>
        </w:rPr>
        <w:t>一般公共预算财政拨款收入支出决算公开表</w:t>
      </w:r>
    </w:p>
    <w:p>
      <w:pPr>
        <w:keepNext w:val="0"/>
        <w:keepLines w:val="0"/>
        <w:widowControl w:val="0"/>
        <w:suppressLineNumbers w:val="0"/>
        <w:spacing w:before="0" w:beforeAutospacing="0" w:after="0" w:afterAutospacing="0"/>
        <w:ind w:left="0" w:right="0" w:firstLine="1302" w:firstLineChars="407"/>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（见正文附件）。</w:t>
      </w:r>
    </w:p>
    <w:p>
      <w:pPr>
        <w:keepNext w:val="0"/>
        <w:keepLines w:val="0"/>
        <w:widowControl w:val="0"/>
        <w:suppressLineNumbers w:val="0"/>
        <w:spacing w:before="0" w:beforeAutospacing="0" w:after="0" w:afterAutospacing="0"/>
        <w:ind w:left="0" w:right="0" w:firstLine="645"/>
        <w:jc w:val="both"/>
        <w:rPr>
          <w:rFonts w:hint="eastAsia" w:ascii="黑体" w:hAnsi="宋体" w:eastAsia="黑体" w:cs="黑体"/>
          <w:kern w:val="2"/>
          <w:sz w:val="32"/>
          <w:szCs w:val="32"/>
        </w:rPr>
      </w:pPr>
      <w:bookmarkStart w:id="55" w:name="_Toc2632_WPSOffice_Level2"/>
      <w:bookmarkEnd w:id="55"/>
      <w:bookmarkStart w:id="56" w:name="_Toc5343_WPSOffice_Level2"/>
      <w:bookmarkEnd w:id="56"/>
      <w:bookmarkStart w:id="57" w:name="_Toc17833_WPSOffice_Level2"/>
      <w:bookmarkEnd w:id="57"/>
      <w:bookmarkStart w:id="58" w:name="_Toc25362_WPSOffice_Level2"/>
      <w:bookmarkEnd w:id="58"/>
      <w:bookmarkStart w:id="59" w:name="_Toc17283_WPSOffice_Level2"/>
      <w:bookmarkEnd w:id="59"/>
      <w:bookmarkStart w:id="60" w:name="_Toc8373_WPSOffice_Level2"/>
      <w:r>
        <w:rPr>
          <w:rFonts w:hint="eastAsia" w:ascii="黑体" w:hAnsi="宋体" w:eastAsia="黑体" w:cs="黑体"/>
          <w:kern w:val="2"/>
          <w:sz w:val="32"/>
          <w:szCs w:val="32"/>
          <w:lang w:val="en-US" w:eastAsia="zh-CN" w:bidi="ar"/>
        </w:rPr>
        <w:t>六、</w:t>
      </w:r>
      <w:bookmarkEnd w:id="60"/>
      <w:r>
        <w:rPr>
          <w:rFonts w:hint="eastAsia" w:ascii="黑体" w:hAnsi="宋体" w:eastAsia="黑体" w:cs="黑体"/>
          <w:kern w:val="2"/>
          <w:sz w:val="32"/>
          <w:szCs w:val="32"/>
          <w:lang w:val="en-US" w:eastAsia="zh-CN" w:bidi="ar"/>
        </w:rPr>
        <w:t>一般公共预算财政拨款基本支出决算公开表</w:t>
      </w:r>
    </w:p>
    <w:p>
      <w:pPr>
        <w:keepNext w:val="0"/>
        <w:keepLines w:val="0"/>
        <w:widowControl w:val="0"/>
        <w:suppressLineNumbers w:val="0"/>
        <w:spacing w:before="0" w:beforeAutospacing="0" w:after="0" w:afterAutospacing="0"/>
        <w:ind w:left="0" w:right="0" w:firstLine="1280" w:firstLineChars="4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（见正文附件）。</w:t>
      </w:r>
    </w:p>
    <w:p>
      <w:pPr>
        <w:keepNext w:val="0"/>
        <w:keepLines w:val="0"/>
        <w:widowControl w:val="0"/>
        <w:suppressLineNumbers w:val="0"/>
        <w:spacing w:before="0" w:beforeAutospacing="0" w:after="0" w:afterAutospacing="0"/>
        <w:ind w:left="1118" w:leftChars="304" w:right="0" w:hanging="480" w:hangingChars="150"/>
        <w:jc w:val="both"/>
        <w:rPr>
          <w:rFonts w:hint="eastAsia" w:ascii="黑体" w:hAnsi="宋体" w:eastAsia="黑体" w:cs="黑体"/>
          <w:kern w:val="2"/>
          <w:sz w:val="32"/>
          <w:szCs w:val="32"/>
        </w:rPr>
      </w:pPr>
      <w:bookmarkStart w:id="61" w:name="_Toc5594_WPSOffice_Level2"/>
      <w:bookmarkEnd w:id="61"/>
      <w:bookmarkStart w:id="62" w:name="_Toc1533_WPSOffice_Level2"/>
      <w:bookmarkEnd w:id="62"/>
      <w:bookmarkStart w:id="63" w:name="_Toc13345_WPSOffice_Level2"/>
      <w:bookmarkEnd w:id="63"/>
      <w:bookmarkStart w:id="64" w:name="_Toc6020_WPSOffice_Level2"/>
      <w:bookmarkEnd w:id="64"/>
      <w:bookmarkStart w:id="65" w:name="_Toc11799_WPSOffice_Level2"/>
      <w:bookmarkEnd w:id="65"/>
      <w:bookmarkStart w:id="66" w:name="_Toc21310_WPSOffice_Level2"/>
      <w:r>
        <w:rPr>
          <w:rFonts w:hint="eastAsia" w:ascii="黑体" w:hAnsi="宋体" w:eastAsia="黑体" w:cs="黑体"/>
          <w:kern w:val="2"/>
          <w:sz w:val="32"/>
          <w:szCs w:val="32"/>
          <w:lang w:val="en-US" w:eastAsia="zh-CN" w:bidi="ar"/>
        </w:rPr>
        <w:t>七、</w:t>
      </w:r>
      <w:bookmarkEnd w:id="66"/>
      <w:r>
        <w:rPr>
          <w:rFonts w:hint="eastAsia" w:ascii="黑体" w:hAnsi="宋体" w:eastAsia="黑体" w:cs="黑体"/>
          <w:kern w:val="2"/>
          <w:sz w:val="32"/>
          <w:szCs w:val="32"/>
          <w:lang w:val="en-US" w:eastAsia="zh-CN" w:bidi="ar"/>
        </w:rPr>
        <w:t>政府性基金预算财政拨款收入支出决算公开表</w:t>
      </w:r>
    </w:p>
    <w:p>
      <w:pPr>
        <w:keepNext w:val="0"/>
        <w:keepLines w:val="0"/>
        <w:widowControl w:val="0"/>
        <w:suppressLineNumbers w:val="0"/>
        <w:spacing w:before="0" w:beforeAutospacing="0" w:after="0" w:afterAutospacing="0"/>
        <w:ind w:left="1277" w:leftChars="608" w:right="0" w:firstLine="160" w:firstLineChars="5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（见正文附件）。</w:t>
      </w:r>
    </w:p>
    <w:p>
      <w:pPr>
        <w:keepNext w:val="0"/>
        <w:keepLines w:val="0"/>
        <w:widowControl w:val="0"/>
        <w:suppressLineNumbers w:val="0"/>
        <w:spacing w:before="0" w:beforeAutospacing="0" w:after="0" w:afterAutospacing="0"/>
        <w:ind w:left="1118" w:leftChars="304" w:right="0" w:hanging="480" w:hangingChars="15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八、国有资本经营预算财政拨款收入支出决算公开表</w:t>
      </w:r>
    </w:p>
    <w:p>
      <w:pPr>
        <w:keepNext w:val="0"/>
        <w:keepLines w:val="0"/>
        <w:widowControl w:val="0"/>
        <w:suppressLineNumbers w:val="0"/>
        <w:spacing w:before="0" w:beforeAutospacing="0" w:after="0" w:afterAutospacing="0"/>
        <w:ind w:left="1277" w:leftChars="608" w:right="0" w:firstLine="160" w:firstLineChars="5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（见正文附件）。</w:t>
      </w: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bookmarkStart w:id="67" w:name="_Toc29886_WPSOffice_Level2"/>
      <w:bookmarkEnd w:id="67"/>
      <w:bookmarkStart w:id="68" w:name="_Toc9377_WPSOffice_Level2"/>
      <w:bookmarkEnd w:id="68"/>
      <w:bookmarkStart w:id="69" w:name="_Toc1820_WPSOffice_Level2"/>
      <w:bookmarkEnd w:id="69"/>
      <w:bookmarkStart w:id="70" w:name="_Toc19961_WPSOffice_Level2"/>
      <w:r>
        <w:rPr>
          <w:rFonts w:hint="eastAsia" w:ascii="黑体" w:hAnsi="宋体" w:eastAsia="黑体" w:cs="黑体"/>
          <w:kern w:val="2"/>
          <w:sz w:val="32"/>
          <w:szCs w:val="32"/>
          <w:lang w:val="en-US" w:eastAsia="zh-CN" w:bidi="ar"/>
        </w:rPr>
        <w:t xml:space="preserve">    九、</w:t>
      </w:r>
      <w:bookmarkEnd w:id="70"/>
      <w:r>
        <w:rPr>
          <w:rFonts w:hint="eastAsia" w:ascii="黑体" w:hAnsi="宋体" w:eastAsia="黑体" w:cs="黑体"/>
          <w:kern w:val="2"/>
          <w:sz w:val="32"/>
          <w:szCs w:val="32"/>
          <w:lang w:val="en-US" w:eastAsia="zh-CN" w:bidi="ar"/>
        </w:rPr>
        <w:t>一般公共预算财政拨款“三公”经费支出决算</w:t>
      </w:r>
    </w:p>
    <w:p>
      <w:pPr>
        <w:keepNext w:val="0"/>
        <w:keepLines w:val="0"/>
        <w:widowControl w:val="0"/>
        <w:suppressLineNumbers w:val="0"/>
        <w:spacing w:before="0" w:beforeAutospacing="0" w:after="0" w:afterAutospacing="0"/>
        <w:ind w:left="0" w:right="0" w:firstLine="0" w:firstLineChars="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公开表（见正文附件）。</w:t>
      </w:r>
    </w:p>
    <w:p>
      <w:pPr>
        <w:keepNext w:val="0"/>
        <w:keepLines w:val="0"/>
        <w:widowControl w:val="0"/>
        <w:suppressLineNumbers w:val="0"/>
        <w:spacing w:before="0" w:beforeAutospacing="0" w:after="0" w:afterAutospacing="0"/>
        <w:ind w:left="0" w:right="0" w:firstLine="0" w:firstLineChars="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ˎ̥" w:eastAsia="黑体" w:cs="黑体"/>
          <w:b w:val="0"/>
          <w:kern w:val="2"/>
          <w:sz w:val="32"/>
          <w:szCs w:val="32"/>
        </w:rPr>
      </w:pPr>
      <w:bookmarkStart w:id="71" w:name="_Toc29683_WPSOffice_Level1"/>
      <w:bookmarkEnd w:id="71"/>
      <w:bookmarkStart w:id="72" w:name="_Toc28629_WPSOffice_Level1"/>
      <w:bookmarkEnd w:id="72"/>
      <w:bookmarkStart w:id="73" w:name="_Toc16686_WPSOffice_Level1"/>
      <w:bookmarkEnd w:id="73"/>
      <w:bookmarkStart w:id="74" w:name="_Toc31264_WPSOffice_Level1"/>
      <w:bookmarkEnd w:id="74"/>
      <w:bookmarkStart w:id="75" w:name="_Toc4402_WPSOffice_Level1"/>
      <w:bookmarkEnd w:id="75"/>
      <w:bookmarkStart w:id="76" w:name="_Toc27590_WPSOffice_Level1"/>
      <w:r>
        <w:rPr>
          <w:rFonts w:hint="eastAsia" w:ascii="黑体" w:hAnsi="宋体" w:eastAsia="黑体" w:cs="黑体"/>
          <w:b w:val="0"/>
          <w:kern w:val="2"/>
          <w:sz w:val="32"/>
          <w:szCs w:val="32"/>
          <w:lang w:val="en-US" w:eastAsia="zh-CN" w:bidi="ar"/>
        </w:rPr>
        <w:t>第三部分</w:t>
      </w:r>
      <w:bookmarkEnd w:id="76"/>
      <w:r>
        <w:rPr>
          <w:rFonts w:hint="eastAsia" w:ascii="黑体" w:hAnsi="ˎ̥" w:eastAsia="黑体" w:cs="黑体"/>
          <w:b w:val="0"/>
          <w:kern w:val="2"/>
          <w:sz w:val="32"/>
          <w:szCs w:val="32"/>
          <w:lang w:val="en-US" w:eastAsia="zh-CN" w:bidi="ar"/>
        </w:rPr>
        <w:t xml:space="preserve">  </w:t>
      </w:r>
      <w:r>
        <w:rPr>
          <w:rFonts w:hint="eastAsia" w:ascii="黑体" w:hAnsi="ˎ̥" w:eastAsia="黑体"/>
          <w:b w:val="0"/>
          <w:bCs w:val="0"/>
          <w:sz w:val="32"/>
          <w:szCs w:val="32"/>
          <w:lang w:val="en-US" w:eastAsia="zh-CN"/>
        </w:rPr>
        <w:t>三亚市天涯区环卫所</w:t>
      </w:r>
      <w:r>
        <w:rPr>
          <w:rFonts w:hint="eastAsia" w:ascii="黑体" w:hAnsi="ˎ̥" w:eastAsia="黑体" w:cs="黑体"/>
          <w:b w:val="0"/>
          <w:kern w:val="2"/>
          <w:sz w:val="32"/>
          <w:szCs w:val="32"/>
          <w:lang w:val="en-US" w:eastAsia="zh-CN" w:bidi="ar"/>
        </w:rPr>
        <w:t>2022</w:t>
      </w:r>
      <w:r>
        <w:rPr>
          <w:rFonts w:hint="eastAsia" w:ascii="黑体" w:hAnsi="宋体" w:eastAsia="黑体" w:cs="黑体"/>
          <w:b w:val="0"/>
          <w:kern w:val="2"/>
          <w:sz w:val="32"/>
          <w:szCs w:val="32"/>
          <w:lang w:val="en-US" w:eastAsia="zh-CN" w:bidi="ar"/>
        </w:rPr>
        <w:t>年度单位决算情况  说明</w:t>
      </w: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32"/>
          <w:szCs w:val="32"/>
        </w:rPr>
      </w:pPr>
      <w:r>
        <w:rPr>
          <w:rFonts w:hint="eastAsia" w:ascii="黑体" w:hAnsi="ˎ̥" w:eastAsia="黑体" w:cs="黑体"/>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黑体" w:hAnsi="宋体" w:eastAsia="黑体" w:cs="黑体"/>
          <w:b w:val="0"/>
          <w:kern w:val="2"/>
          <w:sz w:val="32"/>
          <w:szCs w:val="32"/>
          <w:lang w:val="en-US" w:eastAsia="zh-CN" w:bidi="ar"/>
        </w:rPr>
        <w:t>一、收入支出决算总体情况说明</w:t>
      </w:r>
      <w:r>
        <w:rPr>
          <w:rFonts w:hint="eastAsia" w:ascii="黑体" w:hAnsi="宋体" w:eastAsia="黑体" w:cs="黑体"/>
          <w:b w:val="0"/>
          <w:kern w:val="2"/>
          <w:sz w:val="32"/>
          <w:szCs w:val="32"/>
          <w:lang w:val="en-US" w:eastAsia="zh-CN" w:bidi="ar"/>
        </w:rPr>
        <w:br w:type="textWrapping"/>
      </w:r>
      <w:r>
        <w:rPr>
          <w:rFonts w:hint="eastAsia" w:ascii="楷体_GB2312" w:hAnsi="ˎ̥" w:eastAsia="楷体_GB2312" w:cs="楷体_GB2312"/>
          <w:kern w:val="2"/>
          <w:sz w:val="32"/>
          <w:szCs w:val="32"/>
          <w:lang w:val="en-US" w:eastAsia="zh-CN" w:bidi="ar"/>
        </w:rPr>
        <w:t xml:space="preserve">    </w:t>
      </w:r>
      <w:r>
        <w:rPr>
          <w:rFonts w:hint="eastAsia" w:ascii="仿宋_GB2312" w:hAnsi="ˎ̥" w:eastAsia="仿宋_GB2312" w:cs="仿宋_GB2312"/>
          <w:kern w:val="2"/>
          <w:sz w:val="32"/>
          <w:szCs w:val="32"/>
          <w:lang w:val="en-US" w:eastAsia="zh-CN" w:bidi="ar"/>
        </w:rPr>
        <w:t>2022年度收入总计16188.70万元，支出总计16188.70万元，与2021年度相比，收入、支出总计各减少9759.49万元，减少37.61%。主要原因是2021年存在调整账目数，2022年不存在。使用非财政拨款结余0万元，较2021年度决算数无变化。年初结转结余51.93万元，主要是</w:t>
      </w:r>
      <w:r>
        <w:rPr>
          <w:rFonts w:hint="eastAsia" w:ascii="仿宋_GB2312" w:hAnsi="ˎ̥" w:eastAsia="仿宋_GB2312"/>
          <w:sz w:val="32"/>
          <w:szCs w:val="32"/>
          <w:lang w:eastAsia="zh-CN"/>
        </w:rPr>
        <w:t>年初预算及历年结转结余</w:t>
      </w:r>
      <w:r>
        <w:rPr>
          <w:rFonts w:hint="eastAsia" w:ascii="仿宋_GB2312" w:hAnsi="ˎ̥" w:eastAsia="仿宋_GB2312" w:cs="仿宋_GB2312"/>
          <w:kern w:val="2"/>
          <w:sz w:val="32"/>
          <w:szCs w:val="32"/>
          <w:lang w:val="en-US" w:eastAsia="zh-CN" w:bidi="ar"/>
        </w:rPr>
        <w:t>，较2021年度决算数无变化。结余分配0万元，较2021年度决算数无变化。年末结转结余51.93万元，主要是</w:t>
      </w:r>
      <w:r>
        <w:rPr>
          <w:rFonts w:hint="eastAsia" w:ascii="仿宋_GB2312" w:hAnsi="ˎ̥" w:eastAsia="仿宋_GB2312"/>
          <w:sz w:val="32"/>
          <w:szCs w:val="32"/>
          <w:lang w:eastAsia="zh-CN"/>
        </w:rPr>
        <w:t>历年结转结余及财政应返还额度</w:t>
      </w:r>
      <w:r>
        <w:rPr>
          <w:rFonts w:hint="eastAsia" w:ascii="仿宋_GB2312" w:hAnsi="ˎ̥" w:eastAsia="仿宋_GB2312" w:cs="仿宋_GB2312"/>
          <w:kern w:val="2"/>
          <w:sz w:val="32"/>
          <w:szCs w:val="32"/>
          <w:lang w:val="en-US" w:eastAsia="zh-CN" w:bidi="ar"/>
        </w:rPr>
        <w:t>，较2021年度决算数无变化。</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黑体" w:hAnsi="宋体" w:eastAsia="黑体" w:cs="黑体"/>
          <w:b w:val="0"/>
          <w:kern w:val="2"/>
          <w:sz w:val="32"/>
          <w:szCs w:val="32"/>
          <w:lang w:val="en-US" w:eastAsia="zh-CN" w:bidi="ar"/>
        </w:rPr>
        <w:t>二、收入决算情况说明</w:t>
      </w:r>
      <w:r>
        <w:rPr>
          <w:rFonts w:hint="eastAsia" w:ascii="黑体" w:hAnsi="宋体" w:eastAsia="黑体" w:cs="黑体"/>
          <w:b w:val="0"/>
          <w:kern w:val="2"/>
          <w:sz w:val="32"/>
          <w:szCs w:val="32"/>
          <w:lang w:val="en-US" w:eastAsia="zh-CN" w:bidi="ar"/>
        </w:rPr>
        <w:br w:type="textWrapping"/>
      </w:r>
      <w:r>
        <w:rPr>
          <w:rFonts w:hint="eastAsia" w:ascii="仿宋_GB2312" w:hAnsi="ˎ̥" w:eastAsia="仿宋_GB2312" w:cs="仿宋_GB2312"/>
          <w:kern w:val="2"/>
          <w:sz w:val="32"/>
          <w:szCs w:val="32"/>
          <w:lang w:val="en-US" w:eastAsia="zh-CN" w:bidi="ar"/>
        </w:rPr>
        <w:t xml:space="preserve">    本年收入合计16136.77万元，其中：财政拨款收入16136.77万元；上级补助收入0万元；事业收入0万元；经营收入0万元；附属单位上缴收入0万元；其他收入0万元。</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三、支出决算情况说明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本年支出合计16136.77万元，其中：基本支出0万元；项目支出16136.77万元；上缴上级支出0万元；经营支出   0万元；对附属单位补助支出0万元。</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四、财政拨款收入支出决算情况说明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2022年度财政拨款收入总计16188.70万元，支出总计16188.70万元。与2021年度相比，财政拨款收入、支出总计各增加4130.18万元，增长34.25%。主要原因财政拨款增加。</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财政拨款年初结转结余51.93万元，主要是</w:t>
      </w:r>
      <w:r>
        <w:rPr>
          <w:rFonts w:hint="eastAsia" w:ascii="仿宋_GB2312" w:hAnsi="ˎ̥" w:eastAsia="仿宋_GB2312"/>
          <w:sz w:val="32"/>
          <w:szCs w:val="32"/>
          <w:lang w:eastAsia="zh-CN"/>
        </w:rPr>
        <w:t>历年结转结余</w:t>
      </w:r>
      <w:r>
        <w:rPr>
          <w:rFonts w:hint="eastAsia" w:ascii="仿宋_GB2312" w:hAnsi="ˎ̥" w:eastAsia="仿宋_GB2312" w:cs="仿宋_GB2312"/>
          <w:kern w:val="2"/>
          <w:sz w:val="32"/>
          <w:szCs w:val="32"/>
          <w:lang w:val="en-US" w:eastAsia="zh-CN" w:bidi="ar"/>
        </w:rPr>
        <w:t>，较2021年度决算数无变化。</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财政拨款年末结转结余51.93万元，主要是</w:t>
      </w:r>
      <w:r>
        <w:rPr>
          <w:rFonts w:hint="eastAsia" w:ascii="仿宋_GB2312" w:hAnsi="ˎ̥" w:eastAsia="仿宋_GB2312"/>
          <w:sz w:val="32"/>
          <w:szCs w:val="32"/>
          <w:lang w:eastAsia="zh-CN"/>
        </w:rPr>
        <w:t>一般公共预算财政拨款</w:t>
      </w:r>
      <w:r>
        <w:rPr>
          <w:rFonts w:hint="eastAsia" w:ascii="仿宋_GB2312" w:hAnsi="ˎ̥" w:eastAsia="仿宋_GB2312"/>
          <w:sz w:val="32"/>
          <w:szCs w:val="32"/>
          <w:lang w:val="en-US" w:eastAsia="zh-CN"/>
        </w:rPr>
        <w:t>和</w:t>
      </w:r>
      <w:r>
        <w:rPr>
          <w:rFonts w:hint="eastAsia" w:ascii="仿宋_GB2312" w:hAnsi="ˎ̥" w:eastAsia="仿宋_GB2312"/>
          <w:sz w:val="32"/>
          <w:szCs w:val="32"/>
          <w:lang w:eastAsia="zh-CN"/>
        </w:rPr>
        <w:t>政府性基金预算财政拨款</w:t>
      </w:r>
      <w:r>
        <w:rPr>
          <w:rFonts w:hint="eastAsia" w:ascii="仿宋_GB2312" w:hAnsi="ˎ̥" w:eastAsia="仿宋_GB2312" w:cs="仿宋_GB2312"/>
          <w:kern w:val="2"/>
          <w:sz w:val="32"/>
          <w:szCs w:val="32"/>
          <w:lang w:val="en-US" w:eastAsia="zh-CN" w:bidi="ar"/>
        </w:rPr>
        <w:t>，较2021年度年末决算数无变化。</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五、一般公共预算财政拨款支出决算情况说明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bookmarkStart w:id="77" w:name="_Toc9989_WPSOffice_Level2"/>
      <w:bookmarkEnd w:id="77"/>
      <w:bookmarkStart w:id="78" w:name="_Toc19665_WPSOffice_Level2"/>
      <w:bookmarkEnd w:id="78"/>
      <w:bookmarkStart w:id="79" w:name="_Toc13694_WPSOffice_Level2"/>
      <w:bookmarkEnd w:id="79"/>
      <w:bookmarkStart w:id="80" w:name="_Toc17398_WPSOffice_Level2"/>
      <w:bookmarkEnd w:id="80"/>
      <w:bookmarkStart w:id="81" w:name="_Toc23005_WPSOffice_Level2"/>
      <w:bookmarkEnd w:id="81"/>
      <w:bookmarkStart w:id="82" w:name="_Toc21737_WPSOffice_Level2"/>
      <w:r>
        <w:rPr>
          <w:rFonts w:hint="eastAsia" w:ascii="楷体" w:hAnsi="楷体" w:eastAsia="楷体" w:cs="楷体"/>
          <w:kern w:val="2"/>
          <w:sz w:val="32"/>
          <w:szCs w:val="32"/>
          <w:lang w:val="en-US" w:eastAsia="zh-CN" w:bidi="ar"/>
        </w:rPr>
        <w:t>（一）</w:t>
      </w:r>
      <w:bookmarkEnd w:id="82"/>
      <w:r>
        <w:rPr>
          <w:rFonts w:hint="eastAsia" w:ascii="楷体" w:hAnsi="楷体" w:eastAsia="楷体" w:cs="楷体"/>
          <w:kern w:val="2"/>
          <w:sz w:val="32"/>
          <w:szCs w:val="32"/>
          <w:lang w:val="en-US" w:eastAsia="zh-CN" w:bidi="ar"/>
        </w:rPr>
        <w:t>一般公共预算财政拨款支出决算总体情况。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2022年度一般公共预算财政拨款支出16136.77万元，占本年支出合计的99.68%。与2021年度相比，一般公共预算财政拨款支出增加4130.17万元，增长34.40%，主要原因是</w:t>
      </w:r>
      <w:r>
        <w:rPr>
          <w:rFonts w:hint="eastAsia" w:ascii="仿宋_GB2312" w:hAnsi="ˎ̥" w:eastAsia="仿宋_GB2312"/>
          <w:sz w:val="32"/>
          <w:szCs w:val="32"/>
          <w:lang w:eastAsia="zh-CN"/>
        </w:rPr>
        <w:t>一般公共预算财政拨款收入</w:t>
      </w:r>
      <w:r>
        <w:rPr>
          <w:rFonts w:hint="eastAsia" w:ascii="仿宋_GB2312" w:hAnsi="ˎ̥" w:eastAsia="仿宋_GB2312"/>
          <w:sz w:val="32"/>
          <w:szCs w:val="32"/>
          <w:lang w:val="en-US" w:eastAsia="zh-CN"/>
        </w:rPr>
        <w:t>增加</w:t>
      </w:r>
      <w:r>
        <w:rPr>
          <w:rFonts w:hint="eastAsia" w:ascii="仿宋_GB2312" w:hAnsi="ˎ̥"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bookmarkStart w:id="83" w:name="_Toc19535_WPSOffice_Level2"/>
      <w:bookmarkEnd w:id="83"/>
      <w:bookmarkStart w:id="84" w:name="_Toc2711_WPSOffice_Level2"/>
      <w:bookmarkEnd w:id="84"/>
      <w:bookmarkStart w:id="85" w:name="_Toc19075_WPSOffice_Level2"/>
      <w:bookmarkEnd w:id="85"/>
      <w:bookmarkStart w:id="86" w:name="_Toc18793_WPSOffice_Level2"/>
      <w:bookmarkEnd w:id="86"/>
      <w:bookmarkStart w:id="87" w:name="_Toc23864_WPSOffice_Level2"/>
      <w:bookmarkEnd w:id="87"/>
      <w:bookmarkStart w:id="88" w:name="_Toc27767_WPSOffice_Level2"/>
      <w:r>
        <w:rPr>
          <w:rFonts w:hint="eastAsia" w:ascii="楷体" w:hAnsi="楷体" w:eastAsia="楷体" w:cs="楷体"/>
          <w:kern w:val="2"/>
          <w:sz w:val="32"/>
          <w:szCs w:val="32"/>
          <w:lang w:val="en-US" w:eastAsia="zh-CN" w:bidi="ar"/>
        </w:rPr>
        <w:t>（二）一般公共预算</w:t>
      </w:r>
      <w:bookmarkEnd w:id="88"/>
      <w:r>
        <w:rPr>
          <w:rFonts w:hint="eastAsia" w:ascii="楷体" w:hAnsi="楷体" w:eastAsia="楷体" w:cs="楷体"/>
          <w:kern w:val="2"/>
          <w:sz w:val="32"/>
          <w:szCs w:val="32"/>
          <w:lang w:val="en-US" w:eastAsia="zh-CN" w:bidi="ar"/>
        </w:rPr>
        <w:t>财政拨款支出决算结构情况。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一般公共预算财政拨款支出16136.77万元，用于“城乡社区支出”类支出16047.58万元，占99.45%；用于“社会保障和就业支出”类支出32.35万元，占0.20%；用于“节能环保支出”类支出3.90万元，占0.02%；用于“农林水支出”类支出52.94万元，占0.33%。</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bookmarkStart w:id="89" w:name="_Toc29364_WPSOffice_Level2"/>
      <w:bookmarkEnd w:id="89"/>
      <w:bookmarkStart w:id="90" w:name="_Toc25136_WPSOffice_Level2"/>
      <w:bookmarkEnd w:id="90"/>
      <w:bookmarkStart w:id="91" w:name="_Toc9502_WPSOffice_Level2"/>
      <w:bookmarkEnd w:id="91"/>
      <w:bookmarkStart w:id="92" w:name="_Toc15415_WPSOffice_Level2"/>
      <w:bookmarkEnd w:id="92"/>
      <w:bookmarkStart w:id="93" w:name="_Toc22318_WPSOffice_Level2"/>
      <w:bookmarkEnd w:id="93"/>
      <w:bookmarkStart w:id="94" w:name="_Toc21701_WPSOffice_Level2"/>
      <w:r>
        <w:rPr>
          <w:rFonts w:hint="eastAsia" w:ascii="楷体" w:hAnsi="楷体" w:eastAsia="楷体" w:cs="楷体"/>
          <w:kern w:val="2"/>
          <w:sz w:val="32"/>
          <w:szCs w:val="32"/>
          <w:lang w:val="en-US" w:eastAsia="zh-CN" w:bidi="ar"/>
        </w:rPr>
        <w:t>（三）一般公共预算</w:t>
      </w:r>
      <w:bookmarkEnd w:id="94"/>
      <w:r>
        <w:rPr>
          <w:rFonts w:hint="eastAsia" w:ascii="楷体" w:hAnsi="楷体" w:eastAsia="楷体" w:cs="楷体"/>
          <w:kern w:val="2"/>
          <w:sz w:val="32"/>
          <w:szCs w:val="32"/>
          <w:lang w:val="en-US" w:eastAsia="zh-CN" w:bidi="ar"/>
        </w:rPr>
        <w:t>财政拨款支出决算具体情况。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u w:val="none"/>
          <w:lang w:val="en-US" w:eastAsia="zh-CN" w:bidi="ar"/>
        </w:rPr>
        <w:t>2022年度一般公共预算财政拨款支出年初预算为16070.58万元，支出决算为16188.70万元，完成年初预算的100.74%。其中:城乡社区支出年初</w:t>
      </w:r>
      <w:r>
        <w:rPr>
          <w:rFonts w:hint="eastAsia" w:ascii="仿宋_GB2312" w:hAnsi="ˎ̥" w:eastAsia="仿宋_GB2312"/>
          <w:sz w:val="32"/>
          <w:szCs w:val="32"/>
          <w:u w:val="none"/>
        </w:rPr>
        <w:t>预算为</w:t>
      </w:r>
      <w:r>
        <w:rPr>
          <w:rFonts w:hint="eastAsia" w:ascii="仿宋_GB2312" w:hAnsi="ˎ̥" w:eastAsia="仿宋_GB2312" w:cs="仿宋_GB2312"/>
          <w:kern w:val="2"/>
          <w:sz w:val="32"/>
          <w:szCs w:val="32"/>
          <w:u w:val="none"/>
          <w:lang w:val="en-US" w:eastAsia="zh-CN" w:bidi="ar"/>
        </w:rPr>
        <w:t>16070.58</w:t>
      </w:r>
      <w:r>
        <w:rPr>
          <w:rFonts w:hint="eastAsia" w:ascii="仿宋_GB2312" w:hAnsi="ˎ̥" w:eastAsia="仿宋_GB2312"/>
          <w:sz w:val="32"/>
          <w:szCs w:val="32"/>
          <w:u w:val="none"/>
        </w:rPr>
        <w:t>万元，支出决算为</w:t>
      </w:r>
      <w:r>
        <w:rPr>
          <w:rFonts w:hint="eastAsia" w:ascii="仿宋_GB2312" w:hAnsi="ˎ̥" w:eastAsia="仿宋_GB2312"/>
          <w:sz w:val="32"/>
          <w:szCs w:val="32"/>
          <w:u w:val="none"/>
          <w:lang w:val="en-US" w:eastAsia="zh-CN"/>
        </w:rPr>
        <w:t>16047.58</w:t>
      </w:r>
      <w:r>
        <w:rPr>
          <w:rFonts w:hint="eastAsia" w:ascii="仿宋_GB2312" w:hAnsi="ˎ̥" w:eastAsia="仿宋_GB2312"/>
          <w:sz w:val="32"/>
          <w:szCs w:val="32"/>
          <w:u w:val="none"/>
        </w:rPr>
        <w:t>万元，完成年初预算的</w:t>
      </w:r>
      <w:r>
        <w:rPr>
          <w:rFonts w:hint="eastAsia" w:ascii="仿宋_GB2312" w:hAnsi="ˎ̥" w:eastAsia="仿宋_GB2312"/>
          <w:sz w:val="32"/>
          <w:szCs w:val="32"/>
          <w:u w:val="none"/>
          <w:lang w:val="en-US" w:eastAsia="zh-CN"/>
        </w:rPr>
        <w:t>99.86</w:t>
      </w:r>
      <w:r>
        <w:rPr>
          <w:rFonts w:hint="eastAsia" w:ascii="仿宋_GB2312" w:hAnsi="ˎ̥" w:eastAsia="仿宋_GB2312"/>
          <w:sz w:val="32"/>
          <w:szCs w:val="32"/>
          <w:u w:val="none"/>
        </w:rPr>
        <w:t>%</w:t>
      </w:r>
      <w:r>
        <w:rPr>
          <w:rFonts w:hint="eastAsia" w:ascii="仿宋_GB2312" w:hAnsi="ˎ̥" w:eastAsia="仿宋_GB2312"/>
          <w:sz w:val="32"/>
          <w:szCs w:val="32"/>
          <w:u w:val="none"/>
          <w:lang w:eastAsia="zh-CN"/>
        </w:rPr>
        <w:t>；社会保障和就业支出年初预算为</w:t>
      </w:r>
      <w:r>
        <w:rPr>
          <w:rFonts w:hint="eastAsia" w:ascii="仿宋_GB2312" w:hAnsi="ˎ̥" w:eastAsia="仿宋_GB2312"/>
          <w:sz w:val="32"/>
          <w:szCs w:val="32"/>
          <w:u w:val="none"/>
          <w:lang w:val="en-US" w:eastAsia="zh-CN"/>
        </w:rPr>
        <w:t>0万元，支出决算为32.35万元；节能环保支出年初预算为0万元，支出决算为3.90万元；农林水支出年初预算数为0万元，支出决算为52.94万元。城乡社区支出</w:t>
      </w:r>
      <w:r>
        <w:rPr>
          <w:rFonts w:hint="eastAsia" w:ascii="仿宋_GB2312" w:hAnsi="ˎ̥" w:eastAsia="仿宋_GB2312"/>
          <w:sz w:val="32"/>
          <w:szCs w:val="32"/>
          <w:u w:val="none"/>
        </w:rPr>
        <w:t>决算数</w:t>
      </w:r>
      <w:r>
        <w:rPr>
          <w:rFonts w:hint="eastAsia" w:ascii="仿宋_GB2312" w:hAnsi="ˎ̥" w:eastAsia="仿宋_GB2312"/>
          <w:sz w:val="32"/>
          <w:szCs w:val="32"/>
          <w:u w:val="none"/>
          <w:lang w:eastAsia="zh-CN"/>
        </w:rPr>
        <w:t>小</w:t>
      </w:r>
      <w:r>
        <w:rPr>
          <w:rFonts w:hint="eastAsia" w:ascii="仿宋_GB2312" w:hAnsi="ˎ̥" w:eastAsia="仿宋_GB2312"/>
          <w:sz w:val="32"/>
          <w:szCs w:val="32"/>
          <w:u w:val="none"/>
          <w:lang w:val="en-US" w:eastAsia="zh-CN"/>
        </w:rPr>
        <w:t>于</w:t>
      </w:r>
      <w:r>
        <w:rPr>
          <w:rFonts w:hint="eastAsia" w:ascii="仿宋_GB2312" w:hAnsi="ˎ̥" w:eastAsia="仿宋_GB2312"/>
          <w:sz w:val="32"/>
          <w:szCs w:val="32"/>
          <w:u w:val="none"/>
        </w:rPr>
        <w:t>预算数的主要原因是</w:t>
      </w:r>
      <w:r>
        <w:rPr>
          <w:rFonts w:hint="eastAsia" w:ascii="仿宋_GB2312" w:hAnsi="ˎ̥" w:eastAsia="仿宋_GB2312" w:cs="仿宋_GB2312"/>
          <w:kern w:val="2"/>
          <w:sz w:val="32"/>
          <w:szCs w:val="32"/>
          <w:u w:val="none"/>
          <w:lang w:val="en-US" w:eastAsia="zh-CN" w:bidi="ar"/>
        </w:rPr>
        <w:t>财政拨款调整预算数减少，社会保障和就业支出、节能环保支出、农林水支出支出决算数大于预算数的主要原因是财政拨款调整数预算数增加</w:t>
      </w:r>
      <w:r>
        <w:rPr>
          <w:rFonts w:hint="eastAsia" w:ascii="仿宋_GB2312" w:hAnsi="ˎ̥" w:eastAsia="仿宋_GB2312"/>
          <w:sz w:val="32"/>
          <w:szCs w:val="32"/>
          <w:u w:val="none"/>
          <w:lang w:val="en-US" w:eastAsia="zh-CN"/>
        </w:rPr>
        <w:t>。</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kern w:val="2"/>
          <w:sz w:val="32"/>
          <w:szCs w:val="32"/>
        </w:rPr>
      </w:pPr>
      <w:r>
        <w:rPr>
          <w:rFonts w:hint="eastAsia" w:ascii="黑体" w:hAnsi="宋体" w:eastAsia="黑体" w:cs="黑体"/>
          <w:b w:val="0"/>
          <w:kern w:val="2"/>
          <w:sz w:val="32"/>
          <w:szCs w:val="32"/>
          <w:lang w:val="en-US" w:eastAsia="zh-CN" w:bidi="ar"/>
        </w:rPr>
        <w:t>六、一般公共预算财政拨款基本支出决算情况说明。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三亚市天涯区环卫所2022年度无财政拨款基本支出。</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七、政府性基金预算财政拨款支出决算情况说明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（一）政府性基金预算财政拨款支出决算总体情况。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2022年度政府性基金预算财政拨款支出0万元，与2021年度相比持平。</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（二）政府性基金预算财政拨款支出决算结构情况。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2022年度政府性基金预算财政拨款支出0万元，无政府性基金预算财政拨款支出决算结构情况。</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（三）政府性基金预算财政拨款支出决算具体情况。</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2022年度政府性基金预算财政拨款支出年初预算为0万元，无政府性基金预算财政拨款支出决算具体情况。</w:t>
      </w:r>
    </w:p>
    <w:p>
      <w:pPr>
        <w:keepNext w:val="0"/>
        <w:keepLines w:val="0"/>
        <w:widowControl w:val="0"/>
        <w:suppressLineNumbers w:val="0"/>
        <w:spacing w:before="0" w:beforeAutospacing="0" w:after="0" w:afterAutospacing="0"/>
        <w:ind w:left="0" w:right="0" w:firstLine="624" w:firstLineChars="195"/>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八、国有资本经营预算财政拨款支出决算情况说明</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（一）国有资本经营预算财政拨款支出决算总体情况。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2022年度国有资本经营预算财政拨款支出0万元，与2021年度相比持平。</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（二）国有资本经营预算财政拨款支出决算结构情况。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2022年度国有资本经营预算财政拨款支出0万元，无国有资本经营预算财政拨款支出决算结构情况。</w:t>
      </w:r>
    </w:p>
    <w:p>
      <w:pPr>
        <w:keepNext w:val="0"/>
        <w:keepLines w:val="0"/>
        <w:widowControl w:val="0"/>
        <w:suppressLineNumbers w:val="0"/>
        <w:spacing w:before="0" w:beforeAutospacing="0" w:after="0" w:afterAutospacing="0"/>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（三）国有资本经营预算财政拨款支出决算具体情况。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2022年度国有资本经营预算财政拨款支出年初预算为0万元，支出决算为0万元，无国有资本经营预算财政拨款支出决算具体情况。</w:t>
      </w:r>
    </w:p>
    <w:p>
      <w:pPr>
        <w:keepNext w:val="0"/>
        <w:keepLines w:val="0"/>
        <w:widowControl w:val="0"/>
        <w:suppressLineNumbers w:val="0"/>
        <w:spacing w:before="0" w:beforeAutospacing="0" w:after="0" w:afterAutospacing="0"/>
        <w:ind w:left="0" w:right="0" w:firstLine="624" w:firstLineChars="195"/>
        <w:jc w:val="both"/>
        <w:rPr>
          <w:rFonts w:hint="eastAsia" w:ascii="仿宋_GB2312" w:hAnsi="ˎ̥" w:eastAsia="楷体_GB2312" w:cs="楷体_GB2312"/>
          <w:kern w:val="2"/>
          <w:sz w:val="32"/>
          <w:szCs w:val="32"/>
        </w:rPr>
      </w:pPr>
      <w:r>
        <w:rPr>
          <w:rFonts w:hint="eastAsia" w:ascii="黑体" w:hAnsi="宋体" w:eastAsia="黑体" w:cs="黑体"/>
          <w:b w:val="0"/>
          <w:kern w:val="2"/>
          <w:sz w:val="32"/>
          <w:szCs w:val="32"/>
          <w:lang w:val="en-US" w:eastAsia="zh-CN" w:bidi="ar"/>
        </w:rPr>
        <w:t>九、一般公共预算财政拨款“三公”经费支出决算情况说明</w:t>
      </w:r>
    </w:p>
    <w:p>
      <w:pPr>
        <w:keepNext w:val="0"/>
        <w:keepLines w:val="0"/>
        <w:widowControl w:val="0"/>
        <w:suppressLineNumbers w:val="0"/>
        <w:spacing w:before="0" w:beforeAutospacing="0" w:after="0" w:afterAutospacing="0"/>
        <w:ind w:left="0" w:right="0" w:firstLine="643" w:firstLineChars="200"/>
        <w:jc w:val="both"/>
        <w:rPr>
          <w:rFonts w:hint="eastAsia" w:ascii="楷体" w:hAnsi="楷体" w:eastAsia="楷体" w:cs="楷体"/>
          <w:kern w:val="2"/>
          <w:sz w:val="32"/>
          <w:szCs w:val="32"/>
        </w:rPr>
      </w:pPr>
      <w:r>
        <w:rPr>
          <w:rFonts w:hint="eastAsia" w:ascii="楷体" w:hAnsi="楷体" w:eastAsia="楷体" w:cs="楷体"/>
          <w:b/>
          <w:kern w:val="2"/>
          <w:sz w:val="32"/>
          <w:szCs w:val="32"/>
          <w:lang w:val="en-US" w:eastAsia="zh-CN" w:bidi="ar"/>
        </w:rPr>
        <w:t>（一）一般公共预算财政拨款“三公”经费支出决算总体情况说明。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 xml:space="preserve">    2022年度一般公共预算财政拨款“三公”经费支出预算为0万元，支出决算为0万元，与2021年度相比持平。</w:t>
      </w:r>
    </w:p>
    <w:p>
      <w:pPr>
        <w:keepNext w:val="0"/>
        <w:keepLines w:val="0"/>
        <w:widowControl w:val="0"/>
        <w:suppressLineNumbers w:val="0"/>
        <w:spacing w:before="0" w:beforeAutospacing="0" w:after="0" w:afterAutospacing="0"/>
        <w:ind w:left="0" w:right="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 xml:space="preserve">    （二）一般公共预算财政拨款“三公”经费支出决算具体情况说明。</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2022年度一般公共预算财政拨款“三公”经费支出决算中，因公出国（境）费支出决算0万元；公务用车购置及运行维护费支出决算0万元；公务接待费支出决算0万元。具体情况如下：</w:t>
      </w:r>
    </w:p>
    <w:p>
      <w:pPr>
        <w:ind w:firstLine="643" w:firstLineChars="200"/>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b/>
          <w:kern w:val="2"/>
          <w:sz w:val="32"/>
          <w:szCs w:val="32"/>
          <w:lang w:val="en-US" w:eastAsia="zh-CN" w:bidi="ar"/>
        </w:rPr>
        <w:t>1.</w:t>
      </w:r>
      <w:r>
        <w:rPr>
          <w:rFonts w:hint="eastAsia" w:ascii="仿宋_GB2312" w:hAnsi="ˎ̥" w:eastAsia="仿宋_GB2312" w:cs="仿宋_GB2312"/>
          <w:kern w:val="2"/>
          <w:sz w:val="32"/>
          <w:szCs w:val="32"/>
          <w:lang w:val="en-US" w:eastAsia="zh-CN" w:bidi="ar"/>
        </w:rPr>
        <w:t>因公出国（境）费支出0万元。全年安排因公出国（境）团组0个，因公出国（境）0人次。</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与预算数持平。</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b/>
          <w:kern w:val="2"/>
          <w:sz w:val="32"/>
          <w:szCs w:val="32"/>
          <w:lang w:val="en-US" w:eastAsia="zh-CN" w:bidi="ar"/>
        </w:rPr>
        <w:t>2.</w:t>
      </w:r>
      <w:r>
        <w:rPr>
          <w:rFonts w:hint="eastAsia" w:ascii="仿宋_GB2312" w:hAnsi="ˎ̥" w:eastAsia="仿宋_GB2312" w:cs="仿宋_GB2312"/>
          <w:kern w:val="2"/>
          <w:sz w:val="32"/>
          <w:szCs w:val="32"/>
          <w:lang w:val="en-US" w:eastAsia="zh-CN" w:bidi="ar"/>
        </w:rPr>
        <w:t>公务用车购置及运行维护费支出0万元。其中：</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公务用车购置支出0万元，全年购置公务用车0辆，年末公务用车保有量0辆。</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公务用车运行维护费支出0万元。</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b w:val="0"/>
          <w:kern w:val="2"/>
          <w:sz w:val="32"/>
          <w:szCs w:val="32"/>
        </w:rPr>
      </w:pPr>
      <w:r>
        <w:rPr>
          <w:rFonts w:hint="eastAsia" w:ascii="仿宋_GB2312" w:hAnsi="ˎ̥" w:eastAsia="仿宋_GB2312" w:cs="仿宋_GB2312"/>
          <w:b w:val="0"/>
          <w:kern w:val="2"/>
          <w:sz w:val="32"/>
          <w:szCs w:val="32"/>
          <w:lang w:val="en-US" w:eastAsia="zh-CN" w:bidi="ar"/>
        </w:rPr>
        <w:t>公务用车购置及运行费支出决算数</w:t>
      </w:r>
      <w:r>
        <w:rPr>
          <w:rFonts w:hint="eastAsia" w:ascii="仿宋_GB2312" w:hAnsi="ˎ̥" w:eastAsia="仿宋_GB2312" w:cs="仿宋_GB2312"/>
          <w:kern w:val="2"/>
          <w:sz w:val="32"/>
          <w:szCs w:val="32"/>
          <w:lang w:val="en-US" w:eastAsia="zh-CN" w:bidi="ar"/>
        </w:rPr>
        <w:t>与预算数</w:t>
      </w:r>
      <w:r>
        <w:rPr>
          <w:rFonts w:hint="eastAsia" w:ascii="仿宋_GB2312" w:hAnsi="ˎ̥" w:eastAsia="仿宋_GB2312"/>
          <w:sz w:val="32"/>
          <w:szCs w:val="32"/>
          <w:lang w:val="en-US" w:eastAsia="zh-CN"/>
        </w:rPr>
        <w:t>持平</w:t>
      </w:r>
      <w:r>
        <w:rPr>
          <w:rFonts w:hint="eastAsia" w:ascii="仿宋_GB2312" w:hAnsi="ˎ̥"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3" w:firstLineChars="200"/>
        <w:jc w:val="both"/>
        <w:rPr>
          <w:rFonts w:hint="eastAsia" w:ascii="仿宋_GB2312" w:hAnsi="ˎ̥" w:eastAsia="仿宋_GB2312" w:cs="仿宋_GB2312"/>
          <w:kern w:val="2"/>
          <w:sz w:val="32"/>
          <w:szCs w:val="32"/>
          <w:lang w:val="en-US" w:eastAsia="zh-CN" w:bidi="ar"/>
        </w:rPr>
      </w:pPr>
      <w:r>
        <w:rPr>
          <w:rFonts w:hint="eastAsia" w:ascii="仿宋_GB2312" w:hAnsi="ˎ̥" w:eastAsia="仿宋_GB2312" w:cs="仿宋_GB2312"/>
          <w:b/>
          <w:kern w:val="2"/>
          <w:sz w:val="32"/>
          <w:szCs w:val="32"/>
          <w:lang w:val="en-US" w:eastAsia="zh-CN" w:bidi="ar"/>
        </w:rPr>
        <w:t>3.</w:t>
      </w:r>
      <w:r>
        <w:rPr>
          <w:rFonts w:hint="eastAsia" w:ascii="仿宋_GB2312" w:hAnsi="ˎ̥" w:eastAsia="仿宋_GB2312" w:cs="仿宋_GB2312"/>
          <w:kern w:val="2"/>
          <w:sz w:val="32"/>
          <w:szCs w:val="32"/>
          <w:lang w:val="en-US" w:eastAsia="zh-CN" w:bidi="ar"/>
        </w:rPr>
        <w:t>公务接待费支出0万元，其中：</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国内接待费支出0万元，国内公务接待0批次，接待0人次。</w:t>
      </w:r>
    </w:p>
    <w:p>
      <w:pPr>
        <w:keepNext w:val="0"/>
        <w:keepLines w:val="0"/>
        <w:widowControl w:val="0"/>
        <w:suppressLineNumbers w:val="0"/>
        <w:spacing w:before="0" w:beforeAutospacing="0" w:after="0" w:afterAutospacing="0"/>
        <w:ind w:left="0" w:leftChars="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国（境）外接待费支出0万元，国（境）外公务接待0批次，接待0人次。</w:t>
      </w:r>
    </w:p>
    <w:p>
      <w:pPr>
        <w:keepNext w:val="0"/>
        <w:keepLines w:val="0"/>
        <w:widowControl w:val="0"/>
        <w:suppressLineNumbers w:val="0"/>
        <w:spacing w:before="0" w:beforeAutospacing="0" w:after="0" w:afterAutospacing="0"/>
        <w:ind w:left="0" w:leftChars="0" w:right="0" w:firstLine="640" w:firstLineChars="200"/>
        <w:jc w:val="both"/>
        <w:rPr>
          <w:rFonts w:hint="default" w:ascii="仿宋_GB2312" w:hAnsi="ˎ̥" w:eastAsia="仿宋_GB2312" w:cs="仿宋_GB2312"/>
          <w:kern w:val="2"/>
          <w:sz w:val="32"/>
          <w:szCs w:val="32"/>
          <w:lang w:val="en-US" w:eastAsia="zh-CN" w:bidi="ar"/>
        </w:rPr>
      </w:pPr>
      <w:r>
        <w:rPr>
          <w:rFonts w:hint="eastAsia" w:ascii="仿宋_GB2312" w:hAnsi="ˎ̥" w:eastAsia="仿宋_GB2312" w:cs="仿宋_GB2312"/>
          <w:kern w:val="2"/>
          <w:sz w:val="32"/>
          <w:szCs w:val="32"/>
          <w:lang w:val="en-US" w:eastAsia="zh-CN" w:bidi="ar"/>
        </w:rPr>
        <w:t>公务接待费支出决算数与预算数持平。</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十、预算绩效情况说明。</w:t>
      </w:r>
    </w:p>
    <w:p>
      <w:pPr>
        <w:keepNext w:val="0"/>
        <w:keepLines w:val="0"/>
        <w:widowControl w:val="0"/>
        <w:suppressLineNumbers w:val="0"/>
        <w:spacing w:before="0" w:beforeAutospacing="0" w:after="0" w:afterAutospacing="0" w:line="578" w:lineRule="exact"/>
        <w:ind w:left="0" w:right="0" w:firstLine="643" w:firstLineChars="20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（一）绩效管理工作开展情况。</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根据财政预算绩效管理要求，可按照如下格式说明：根据财政预算管理要求，我单位组织对2022年度一般公共预算项目支出全面开展绩效自评。共对“办公设备更新及维护”、“垃圾分类”、“生活垃圾分类”、“就业和三支一扶补助资金”、“海面、河面、沙滩保洁”、“绿化、行道树养护”、“农业发展扶持”、“农村生活垃圾清扫保洁收运经费”、“道路环卫清洁管理”、“垃圾转运站管理”、“退休人员“事企差”养老补贴”、“环卫工人慰问”、“扶贫事务”、“公厕保洁管理”、“雇员经费”、“事业运行”、“水利发展资金”、“垃圾分类”、“海坡内河水系连通工程等开挖垃圾筛分”、“创文巩卫”等20个项目开展了单位绩效自评，涉及资金21026.41万元，自评覆盖率达到100%。</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从评价情况来看，</w:t>
      </w:r>
      <w:r>
        <w:rPr>
          <w:rFonts w:hint="eastAsia" w:ascii="仿宋_GB2312" w:eastAsia="仿宋_GB2312"/>
          <w:sz w:val="32"/>
          <w:szCs w:val="32"/>
          <w:lang w:val="en-US" w:eastAsia="zh-CN"/>
        </w:rPr>
        <w:t>单位项目执行情况良好，项目资金支出及时，支出率高</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78" w:lineRule="exact"/>
        <w:ind w:left="0" w:right="0" w:firstLine="643" w:firstLineChars="20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（二）单位决算中项目绩效自评结果。</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我单位今年在区本级单位决算中未进行重点反映项目绩效自评。</w:t>
      </w:r>
    </w:p>
    <w:p>
      <w:pPr>
        <w:keepNext w:val="0"/>
        <w:keepLines w:val="0"/>
        <w:widowControl w:val="0"/>
        <w:suppressLineNumbers w:val="0"/>
        <w:spacing w:before="0" w:beforeAutospacing="0" w:after="0" w:afterAutospacing="0" w:line="578" w:lineRule="exact"/>
        <w:ind w:left="0" w:right="0" w:firstLine="643" w:firstLineChars="20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（三）财政评价项目绩效评价结果。</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color w:val="auto"/>
          <w:kern w:val="2"/>
          <w:sz w:val="32"/>
          <w:szCs w:val="32"/>
          <w:highlight w:val="none"/>
          <w:lang w:val="en-US" w:eastAsia="zh-CN" w:bidi="ar"/>
        </w:rPr>
      </w:pPr>
      <w:r>
        <w:rPr>
          <w:rFonts w:hint="eastAsia" w:ascii="仿宋_GB2312" w:hAnsi="Times New Roman" w:eastAsia="仿宋_GB2312" w:cs="仿宋_GB2312"/>
          <w:color w:val="auto"/>
          <w:kern w:val="2"/>
          <w:sz w:val="32"/>
          <w:szCs w:val="32"/>
          <w:highlight w:val="none"/>
          <w:lang w:val="en-US" w:eastAsia="zh-CN" w:bidi="ar"/>
        </w:rPr>
        <w:t>2022年未进行财政评价项目绩效评价。</w:t>
      </w:r>
    </w:p>
    <w:p>
      <w:pPr>
        <w:keepNext w:val="0"/>
        <w:keepLines w:val="0"/>
        <w:widowControl w:val="0"/>
        <w:suppressLineNumbers w:val="0"/>
        <w:spacing w:before="0" w:beforeAutospacing="0" w:after="0" w:afterAutospacing="0" w:line="578" w:lineRule="exact"/>
        <w:ind w:left="0" w:right="0" w:firstLine="643" w:firstLineChars="20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（四）单位评价项目绩效评价结果。</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单位评价项目绩效评价结果未进行公开。</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b w:val="0"/>
          <w:kern w:val="2"/>
          <w:sz w:val="32"/>
          <w:szCs w:val="32"/>
        </w:rPr>
      </w:pPr>
      <w:r>
        <w:rPr>
          <w:rFonts w:hint="eastAsia" w:ascii="黑体" w:hAnsi="宋体" w:eastAsia="黑体" w:cs="黑体"/>
          <w:b w:val="0"/>
          <w:kern w:val="2"/>
          <w:sz w:val="32"/>
          <w:szCs w:val="32"/>
          <w:lang w:val="en-US" w:eastAsia="zh-CN" w:bidi="ar"/>
        </w:rPr>
        <w:t>十一、其他重要事项情况说明。</w:t>
      </w:r>
    </w:p>
    <w:p>
      <w:pPr>
        <w:keepNext w:val="0"/>
        <w:keepLines w:val="0"/>
        <w:widowControl w:val="0"/>
        <w:suppressLineNumbers w:val="0"/>
        <w:spacing w:before="0" w:beforeAutospacing="0" w:after="0" w:afterAutospacing="0"/>
        <w:ind w:left="0" w:right="0" w:firstLine="643" w:firstLineChars="200"/>
        <w:jc w:val="both"/>
        <w:rPr>
          <w:rFonts w:hint="eastAsia" w:ascii="楷体" w:hAnsi="楷体" w:eastAsia="楷体" w:cs="楷体"/>
          <w:b/>
          <w:kern w:val="2"/>
          <w:sz w:val="32"/>
          <w:szCs w:val="32"/>
        </w:rPr>
      </w:pPr>
      <w:bookmarkStart w:id="95" w:name="_Toc32639_WPSOffice_Level2"/>
      <w:bookmarkEnd w:id="95"/>
      <w:bookmarkStart w:id="96" w:name="_Toc15262_WPSOffice_Level2"/>
      <w:bookmarkEnd w:id="96"/>
      <w:bookmarkStart w:id="97" w:name="_Toc15565_WPSOffice_Level2"/>
      <w:bookmarkEnd w:id="97"/>
      <w:bookmarkStart w:id="98" w:name="_Toc23598_WPSOffice_Level2"/>
      <w:bookmarkEnd w:id="98"/>
      <w:bookmarkStart w:id="99" w:name="_Toc5978_WPSOffice_Level2"/>
      <w:bookmarkEnd w:id="99"/>
      <w:bookmarkStart w:id="100" w:name="_Toc18325_WPSOffice_Level2"/>
      <w:r>
        <w:rPr>
          <w:rFonts w:hint="eastAsia" w:ascii="楷体" w:hAnsi="楷体" w:eastAsia="楷体" w:cs="楷体"/>
          <w:b/>
          <w:kern w:val="2"/>
          <w:sz w:val="32"/>
          <w:szCs w:val="32"/>
          <w:lang w:val="en-US" w:eastAsia="zh-CN" w:bidi="ar"/>
        </w:rPr>
        <w:t>（一）</w:t>
      </w:r>
      <w:bookmarkEnd w:id="100"/>
      <w:r>
        <w:rPr>
          <w:rFonts w:hint="eastAsia" w:ascii="楷体" w:hAnsi="楷体" w:eastAsia="楷体" w:cs="楷体"/>
          <w:b/>
          <w:kern w:val="2"/>
          <w:sz w:val="32"/>
          <w:szCs w:val="32"/>
          <w:lang w:val="en-US" w:eastAsia="zh-CN" w:bidi="ar"/>
        </w:rPr>
        <w:t>机关运行经费支出情况。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sz w:val="32"/>
          <w:szCs w:val="32"/>
        </w:rPr>
      </w:pPr>
      <w:bookmarkStart w:id="101" w:name="_Toc32689_WPSOffice_Level2"/>
      <w:bookmarkEnd w:id="101"/>
      <w:bookmarkStart w:id="102" w:name="_Toc25333_WPSOffice_Level2"/>
      <w:bookmarkEnd w:id="102"/>
      <w:bookmarkStart w:id="103" w:name="_Toc23966_WPSOffice_Level2"/>
      <w:bookmarkEnd w:id="103"/>
      <w:bookmarkStart w:id="104" w:name="_Toc3131_WPSOffice_Level2"/>
      <w:bookmarkEnd w:id="104"/>
      <w:bookmarkStart w:id="105" w:name="_Toc13084_WPSOffice_Level2"/>
      <w:bookmarkEnd w:id="105"/>
      <w:bookmarkStart w:id="106" w:name="_Toc30383_WPSOffice_Level2"/>
      <w:r>
        <w:rPr>
          <w:rFonts w:hint="eastAsia" w:ascii="仿宋_GB2312" w:hAnsi="ˎ̥" w:eastAsia="仿宋_GB2312"/>
          <w:sz w:val="32"/>
          <w:szCs w:val="32"/>
          <w:lang w:eastAsia="zh-CN"/>
        </w:rPr>
        <w:t>因我所为事业</w:t>
      </w:r>
      <w:r>
        <w:rPr>
          <w:rFonts w:hint="eastAsia" w:ascii="仿宋_GB2312" w:hAnsi="ˎ̥" w:eastAsia="仿宋_GB2312"/>
          <w:sz w:val="32"/>
          <w:szCs w:val="32"/>
          <w:lang w:val="en-US" w:eastAsia="zh-CN"/>
        </w:rPr>
        <w:t>单位</w:t>
      </w:r>
      <w:r>
        <w:rPr>
          <w:rFonts w:hint="eastAsia" w:ascii="仿宋_GB2312" w:hAnsi="ˎ̥" w:eastAsia="仿宋_GB2312"/>
          <w:sz w:val="32"/>
          <w:szCs w:val="32"/>
          <w:lang w:eastAsia="zh-CN"/>
        </w:rPr>
        <w:t>，因此2</w:t>
      </w:r>
      <w:r>
        <w:rPr>
          <w:rFonts w:hint="eastAsia" w:ascii="仿宋_GB2312" w:hAnsi="ˎ̥" w:eastAsia="仿宋_GB2312"/>
          <w:sz w:val="32"/>
          <w:szCs w:val="32"/>
          <w:lang w:val="en-US" w:eastAsia="zh-CN"/>
        </w:rPr>
        <w:t>022</w:t>
      </w:r>
      <w:r>
        <w:rPr>
          <w:rFonts w:hint="eastAsia" w:ascii="仿宋_GB2312" w:hAnsi="ˎ̥" w:eastAsia="仿宋_GB2312"/>
          <w:sz w:val="32"/>
          <w:szCs w:val="32"/>
          <w:lang w:eastAsia="zh-CN"/>
        </w:rPr>
        <w:t>年度无</w:t>
      </w:r>
      <w:r>
        <w:rPr>
          <w:rFonts w:hint="eastAsia" w:ascii="仿宋_GB2312" w:hAnsi="ˎ̥" w:eastAsia="仿宋_GB2312"/>
          <w:sz w:val="32"/>
          <w:szCs w:val="32"/>
        </w:rPr>
        <w:t>机关运行经费</w:t>
      </w:r>
      <w:r>
        <w:rPr>
          <w:rFonts w:hint="eastAsia" w:ascii="仿宋_GB2312" w:hAnsi="ˎ̥" w:eastAsia="仿宋_GB2312"/>
          <w:sz w:val="32"/>
          <w:szCs w:val="32"/>
          <w:lang w:eastAsia="zh-CN"/>
        </w:rPr>
        <w:t>支出项目</w:t>
      </w:r>
      <w:r>
        <w:rPr>
          <w:rFonts w:hint="eastAsia" w:ascii="仿宋_GB2312" w:hAnsi="ˎ̥" w:eastAsia="仿宋_GB2312"/>
          <w:sz w:val="32"/>
          <w:szCs w:val="32"/>
        </w:rPr>
        <w:t>。</w:t>
      </w:r>
    </w:p>
    <w:p>
      <w:pPr>
        <w:keepNext w:val="0"/>
        <w:keepLines w:val="0"/>
        <w:widowControl w:val="0"/>
        <w:suppressLineNumbers w:val="0"/>
        <w:spacing w:before="0" w:beforeAutospacing="0" w:after="0" w:afterAutospacing="0"/>
        <w:ind w:left="0" w:right="0" w:firstLine="643" w:firstLineChars="200"/>
        <w:jc w:val="both"/>
        <w:rPr>
          <w:rFonts w:hint="eastAsia" w:ascii="楷体" w:hAnsi="楷体" w:eastAsia="楷体" w:cs="楷体"/>
          <w:b/>
          <w:kern w:val="2"/>
          <w:sz w:val="32"/>
          <w:szCs w:val="32"/>
        </w:rPr>
      </w:pPr>
      <w:r>
        <w:rPr>
          <w:rFonts w:hint="eastAsia" w:ascii="楷体" w:hAnsi="楷体" w:eastAsia="楷体" w:cs="楷体"/>
          <w:b/>
          <w:kern w:val="2"/>
          <w:sz w:val="32"/>
          <w:szCs w:val="32"/>
          <w:lang w:val="en-US" w:eastAsia="zh-CN" w:bidi="ar"/>
        </w:rPr>
        <w:t>（二）</w:t>
      </w:r>
      <w:bookmarkEnd w:id="106"/>
      <w:r>
        <w:rPr>
          <w:rFonts w:hint="eastAsia" w:ascii="楷体" w:hAnsi="楷体" w:eastAsia="楷体" w:cs="楷体"/>
          <w:b/>
          <w:kern w:val="2"/>
          <w:sz w:val="32"/>
          <w:szCs w:val="32"/>
          <w:lang w:val="en-US" w:eastAsia="zh-CN" w:bidi="ar"/>
        </w:rPr>
        <w:t>政府采购支出情况。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2022年度三亚市天涯区环卫所单位政府采购支出总额212.07万元，其中：</w:t>
      </w:r>
      <w:r>
        <w:rPr>
          <w:rFonts w:hint="eastAsia" w:ascii="仿宋_GB2312" w:hAnsi="ˎ̥" w:eastAsia="仿宋_GB2312" w:cs="仿宋_GB2312"/>
          <w:kern w:val="2"/>
          <w:sz w:val="32"/>
          <w:szCs w:val="32"/>
          <w:highlight w:val="none"/>
          <w:lang w:val="en-US" w:eastAsia="zh-CN" w:bidi="ar"/>
        </w:rPr>
        <w:t>政府采购货物支出212.07万元、</w:t>
      </w:r>
      <w:r>
        <w:rPr>
          <w:rFonts w:hint="eastAsia" w:ascii="仿宋_GB2312" w:hAnsi="ˎ̥" w:eastAsia="仿宋_GB2312" w:cs="仿宋_GB2312"/>
          <w:kern w:val="2"/>
          <w:sz w:val="32"/>
          <w:szCs w:val="32"/>
          <w:lang w:val="en-US" w:eastAsia="zh-CN" w:bidi="ar"/>
        </w:rPr>
        <w:t>政府采购工程支出0万元、政府采购服务支出0万元。授予中小</w:t>
      </w:r>
      <w:r>
        <w:rPr>
          <w:rFonts w:hint="eastAsia" w:ascii="仿宋_GB2312" w:hAnsi="ˎ̥" w:eastAsia="仿宋_GB2312" w:cs="仿宋_GB2312"/>
          <w:kern w:val="2"/>
          <w:sz w:val="32"/>
          <w:szCs w:val="32"/>
          <w:highlight w:val="none"/>
          <w:lang w:val="en-US" w:eastAsia="zh-CN" w:bidi="ar"/>
        </w:rPr>
        <w:t>企业合同金额212.07万元，占政府采购支出总额的100%。</w:t>
      </w:r>
    </w:p>
    <w:p>
      <w:pPr>
        <w:keepNext w:val="0"/>
        <w:keepLines w:val="0"/>
        <w:widowControl w:val="0"/>
        <w:suppressLineNumbers w:val="0"/>
        <w:spacing w:before="0" w:beforeAutospacing="0" w:after="0" w:afterAutospacing="0"/>
        <w:ind w:left="0" w:right="0" w:firstLine="643" w:firstLineChars="200"/>
        <w:jc w:val="both"/>
        <w:rPr>
          <w:rFonts w:hint="eastAsia" w:ascii="楷体" w:hAnsi="楷体" w:eastAsia="楷体" w:cs="楷体"/>
          <w:b/>
          <w:kern w:val="2"/>
          <w:sz w:val="32"/>
          <w:szCs w:val="32"/>
        </w:rPr>
      </w:pPr>
      <w:bookmarkStart w:id="107" w:name="_Toc527_WPSOffice_Level2"/>
      <w:bookmarkEnd w:id="107"/>
      <w:bookmarkStart w:id="108" w:name="_Toc10902_WPSOffice_Level2"/>
      <w:bookmarkEnd w:id="108"/>
      <w:bookmarkStart w:id="109" w:name="_Toc15129_WPSOffice_Level2"/>
      <w:bookmarkEnd w:id="109"/>
      <w:bookmarkStart w:id="110" w:name="_Toc29584_WPSOffice_Level2"/>
      <w:bookmarkEnd w:id="110"/>
      <w:bookmarkStart w:id="111" w:name="_Toc6016_WPSOffice_Level2"/>
      <w:bookmarkEnd w:id="111"/>
      <w:bookmarkStart w:id="112" w:name="_Toc19989_WPSOffice_Level2"/>
      <w:r>
        <w:rPr>
          <w:rFonts w:hint="eastAsia" w:ascii="楷体" w:hAnsi="楷体" w:eastAsia="楷体" w:cs="楷体"/>
          <w:b/>
          <w:kern w:val="2"/>
          <w:sz w:val="32"/>
          <w:szCs w:val="32"/>
          <w:lang w:val="en-US" w:eastAsia="zh-CN" w:bidi="ar"/>
        </w:rPr>
        <w:t>（三）</w:t>
      </w:r>
      <w:bookmarkEnd w:id="112"/>
      <w:r>
        <w:rPr>
          <w:rFonts w:hint="eastAsia" w:ascii="楷体" w:hAnsi="楷体" w:eastAsia="楷体" w:cs="楷体"/>
          <w:b/>
          <w:kern w:val="2"/>
          <w:sz w:val="32"/>
          <w:szCs w:val="32"/>
          <w:lang w:val="en-US" w:eastAsia="zh-CN" w:bidi="ar"/>
        </w:rPr>
        <w:t>国有资产占用情况。</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截至2022年12月31日，本单位占用房屋面积0平方米，其中：办公用房0平方米，业务用房0平方米，其他（不含构筑物）0平方米。</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本单位共有车辆350辆，其中：从车辆种类说明：轿车0辆、越野车0辆、小型载客汽车0辆、大中型载客汽车辆、其他车型350辆，其他车型主要是电动保洁车、电动巡查车、后挂桶垃圾车、垃圾转运车、道路清扫车、清运垃圾车等等；从车辆使用情况说明：副部（省）级及以上领导用车XX辆、主要领导干部用车0辆、机要通信用车0辆、应急保障用车0辆、执法执勤用车0辆、特种专业技术用车0辆、离退休干部用车0辆、其他用车350辆。</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单位价值50万元（含）以上通用设备0台（套），单价100万元（含）以上专用设备3台（套）。</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年末在建工程194.80万元。</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32"/>
          <w:szCs w:val="32"/>
        </w:rPr>
      </w:pPr>
      <w:bookmarkStart w:id="113" w:name="_Toc11039_WPSOffice_Level1"/>
      <w:bookmarkEnd w:id="113"/>
      <w:bookmarkStart w:id="114" w:name="_Toc15425_WPSOffice_Level1"/>
      <w:bookmarkEnd w:id="114"/>
      <w:bookmarkStart w:id="115" w:name="_Toc4398_WPSOffice_Level1"/>
      <w:bookmarkEnd w:id="115"/>
      <w:bookmarkStart w:id="116" w:name="_Toc17580_WPSOffice_Level1"/>
      <w:bookmarkEnd w:id="116"/>
      <w:bookmarkStart w:id="117" w:name="_Toc8808_WPSOffice_Level1"/>
      <w:bookmarkEnd w:id="117"/>
      <w:bookmarkStart w:id="118" w:name="_Toc8874_WPSOffice_Level1"/>
      <w:r>
        <w:rPr>
          <w:rFonts w:hint="eastAsia" w:ascii="黑体" w:hAnsi="宋体" w:eastAsia="黑体" w:cs="黑体"/>
          <w:kern w:val="2"/>
          <w:sz w:val="32"/>
          <w:szCs w:val="32"/>
          <w:lang w:val="en-US" w:eastAsia="zh-CN" w:bidi="ar"/>
        </w:rPr>
        <w:t>第四部分</w:t>
      </w:r>
      <w:bookmarkEnd w:id="118"/>
      <w:r>
        <w:rPr>
          <w:rFonts w:hint="eastAsia" w:ascii="黑体" w:hAnsi="ˎ̥" w:eastAsia="黑体" w:cs="黑体"/>
          <w:kern w:val="2"/>
          <w:sz w:val="32"/>
          <w:szCs w:val="32"/>
          <w:lang w:val="en-US" w:eastAsia="zh-CN" w:bidi="ar"/>
        </w:rPr>
        <w:t xml:space="preserve">  </w:t>
      </w:r>
      <w:r>
        <w:rPr>
          <w:rFonts w:hint="eastAsia" w:ascii="黑体" w:hAnsi="宋体" w:eastAsia="黑体" w:cs="黑体"/>
          <w:kern w:val="2"/>
          <w:sz w:val="32"/>
          <w:szCs w:val="32"/>
          <w:lang w:val="en-US" w:eastAsia="zh-CN" w:bidi="ar"/>
        </w:rPr>
        <w:t>名词解释</w:t>
      </w:r>
    </w:p>
    <w:p>
      <w:pPr>
        <w:keepNext w:val="0"/>
        <w:keepLines w:val="0"/>
        <w:widowControl w:val="0"/>
        <w:suppressLineNumbers w:val="0"/>
        <w:spacing w:before="0" w:beforeAutospacing="0" w:after="0" w:afterAutospacing="0"/>
        <w:ind w:left="0" w:right="0"/>
        <w:jc w:val="center"/>
        <w:rPr>
          <w:rFonts w:hint="eastAsia" w:ascii="黑体" w:hAnsi="ˎ̥" w:eastAsia="黑体" w:cs="黑体"/>
          <w:kern w:val="2"/>
          <w:sz w:val="32"/>
          <w:szCs w:val="32"/>
        </w:rPr>
      </w:pPr>
      <w:r>
        <w:rPr>
          <w:rFonts w:hint="eastAsia" w:ascii="黑体" w:hAnsi="ˎ̥" w:eastAsia="黑体" w:cs="黑体"/>
          <w:kern w:val="2"/>
          <w:sz w:val="32"/>
          <w:szCs w:val="32"/>
          <w:lang w:val="en-US" w:eastAsia="zh-CN" w:bidi="ar"/>
        </w:rPr>
        <w:t xml:space="preserve"> </w:t>
      </w:r>
    </w:p>
    <w:p>
      <w:pPr>
        <w:keepNext w:val="0"/>
        <w:keepLines w:val="0"/>
        <w:widowControl w:val="0"/>
        <w:numPr>
          <w:ilvl w:val="0"/>
          <w:numId w:val="3"/>
        </w:numPr>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财政拨款收入：指同级政府财政部门当年拨付的各类财政拨款。</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二、上级补助收入：指事业单位从主管部门和上级单位取得的非财政补助收入。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三、事业收入：指事业单位开展专业业务活动及辅助活动取得的收入。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四、经营收入：指事业单位在专业业务活动及其辅助活动之外开展非独立核算经营活动取得的收入。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五、附属单位上缴收入：指事业单位取得附属独立核算单位根据有关规定上缴的收入。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六、其他收入：指除上述“财政拨款收入”“事业收入”“上级补助收入”“经营收入”“附属单位上缴收入”等以外的收入。</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八、年初结转和结余：指以前年度尚未完成、结转到本年按有关规定继续使用的资金。</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九、结余分配：指事业单位缴纳企业所得税以及从非财政拨款结余或经营结余中提取各类结余的情况。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十一、基本支出：指为保障机构正常运转、完成日常工作任务而发生的人员支出和公用支出。</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十二、项目支出：指在基本支出之外为完成特定行政任务和事业发展目标所发生的支出。</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十三、经营支出：指事业单位在专业业务活动及其辅助活动之外开展非独立核算经营活动发生的支出。</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十四、“三公”经费：纳入本级财政预决算管理的“三公”经费，是指用一般公共预算财政拨款、政府性基金</w:t>
      </w:r>
      <w:r>
        <w:rPr>
          <w:rFonts w:hint="eastAsia" w:ascii="仿宋_GB2312" w:hAnsi="ˎ̥" w:eastAsia="仿宋_GB2312" w:cs="仿宋_GB2312"/>
          <w:b w:val="0"/>
          <w:kern w:val="2"/>
          <w:sz w:val="32"/>
          <w:szCs w:val="32"/>
          <w:lang w:val="en-US" w:eastAsia="zh-CN" w:bidi="ar"/>
        </w:rPr>
        <w:t>预算财政拨款及国有资本经营预算财政拨款</w:t>
      </w:r>
      <w:r>
        <w:rPr>
          <w:rFonts w:hint="eastAsia" w:ascii="仿宋_GB2312" w:hAnsi="ˎ̥" w:eastAsia="仿宋_GB2312" w:cs="仿宋_GB2312"/>
          <w:kern w:val="2"/>
          <w:sz w:val="32"/>
          <w:szCs w:val="32"/>
          <w:lang w:val="en-US" w:eastAsia="zh-CN" w:bidi="ar"/>
        </w:rPr>
        <w:t>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val="0"/>
        <w:suppressLineNumbers w:val="0"/>
        <w:spacing w:before="0" w:beforeAutospacing="0" w:after="0" w:afterAutospacing="0"/>
        <w:ind w:left="0" w:right="0" w:firstLine="645"/>
        <w:jc w:val="both"/>
        <w:rPr>
          <w:rFonts w:hint="eastAsia" w:ascii="仿宋_GB2312" w:hAnsi="ˎ̥" w:eastAsia="仿宋_GB2312" w:cs="仿宋_GB2312"/>
          <w:kern w:val="2"/>
          <w:sz w:val="32"/>
          <w:szCs w:val="32"/>
        </w:rPr>
      </w:pPr>
      <w:r>
        <w:rPr>
          <w:rFonts w:hint="eastAsia" w:ascii="仿宋_GB2312" w:hAnsi="ˎ̥" w:eastAsia="仿宋_GB2312" w:cs="仿宋_GB2312"/>
          <w:kern w:val="2"/>
          <w:sz w:val="32"/>
          <w:szCs w:val="32"/>
          <w:lang w:val="en-US" w:eastAsia="zh-CN" w:bidi="ar"/>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bookmarkStart w:id="119" w:name="_GoBack"/>
      <w:bookmarkEnd w:id="1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ˎ̥">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575359739">
    <w:nsid w:val="224B4AFB"/>
    <w:multiLevelType w:val="singleLevel"/>
    <w:tmpl w:val="224B4AFB"/>
    <w:lvl w:ilvl="0" w:tentative="1">
      <w:start w:val="1"/>
      <w:numFmt w:val="chineseCounting"/>
      <w:suff w:val="nothing"/>
      <w:lvlText w:val="%1、"/>
      <w:lvlJc w:val="left"/>
      <w:rPr>
        <w:rFonts w:hint="eastAsia"/>
      </w:rPr>
    </w:lvl>
  </w:abstractNum>
  <w:abstractNum w:abstractNumId="4027271425">
    <w:nsid w:val="F00B4901"/>
    <w:multiLevelType w:val="multilevel"/>
    <w:tmpl w:val="F00B4901"/>
    <w:lvl w:ilvl="0" w:tentative="1">
      <w:start w:val="1"/>
      <w:numFmt w:val="chineseCounting"/>
      <w:suff w:val="nothing"/>
      <w:lvlText w:val="%1、"/>
      <w:lvlJc w:val="left"/>
      <w:pPr>
        <w:ind w:left="0" w:firstLine="0"/>
      </w:pPr>
      <w:rPr>
        <w:rFonts w:hint="eastAsia" w:ascii="宋体" w:hAnsi="宋体" w:eastAsia="宋体" w:cs="宋体"/>
      </w:rPr>
    </w:lvl>
    <w:lvl w:ilvl="1" w:tentative="1">
      <w:start w:val="1"/>
      <w:numFmt w:val="decimal"/>
      <w:lvlText w:val="%2."/>
      <w:lvlJc w:val="left"/>
      <w:pPr>
        <w:tabs>
          <w:tab w:val="left" w:pos="1440"/>
        </w:tabs>
        <w:ind w:left="1440" w:firstLine="65176"/>
      </w:pPr>
    </w:lvl>
    <w:lvl w:ilvl="2" w:tentative="1">
      <w:start w:val="1"/>
      <w:numFmt w:val="decimal"/>
      <w:lvlText w:val="%3."/>
      <w:lvlJc w:val="left"/>
      <w:pPr>
        <w:tabs>
          <w:tab w:val="left" w:pos="2160"/>
        </w:tabs>
        <w:ind w:left="2160" w:firstLine="65176"/>
      </w:pPr>
    </w:lvl>
    <w:lvl w:ilvl="3" w:tentative="1">
      <w:start w:val="1"/>
      <w:numFmt w:val="decimal"/>
      <w:lvlText w:val="%4."/>
      <w:lvlJc w:val="left"/>
      <w:pPr>
        <w:tabs>
          <w:tab w:val="left" w:pos="2880"/>
        </w:tabs>
        <w:ind w:left="2880" w:firstLine="65176"/>
      </w:pPr>
    </w:lvl>
    <w:lvl w:ilvl="4" w:tentative="1">
      <w:start w:val="1"/>
      <w:numFmt w:val="decimal"/>
      <w:lvlText w:val="%5."/>
      <w:lvlJc w:val="left"/>
      <w:pPr>
        <w:tabs>
          <w:tab w:val="left" w:pos="3600"/>
        </w:tabs>
        <w:ind w:left="3600" w:firstLine="65176"/>
      </w:pPr>
    </w:lvl>
    <w:lvl w:ilvl="5" w:tentative="1">
      <w:start w:val="1"/>
      <w:numFmt w:val="decimal"/>
      <w:lvlText w:val="%6."/>
      <w:lvlJc w:val="left"/>
      <w:pPr>
        <w:tabs>
          <w:tab w:val="left" w:pos="4320"/>
        </w:tabs>
        <w:ind w:left="4320" w:firstLine="65176"/>
      </w:pPr>
    </w:lvl>
    <w:lvl w:ilvl="6" w:tentative="1">
      <w:start w:val="1"/>
      <w:numFmt w:val="decimal"/>
      <w:lvlText w:val="%7."/>
      <w:lvlJc w:val="left"/>
      <w:pPr>
        <w:tabs>
          <w:tab w:val="left" w:pos="5040"/>
        </w:tabs>
        <w:ind w:left="5040" w:firstLine="65176"/>
      </w:pPr>
    </w:lvl>
    <w:lvl w:ilvl="7" w:tentative="1">
      <w:start w:val="1"/>
      <w:numFmt w:val="decimal"/>
      <w:lvlText w:val="%8."/>
      <w:lvlJc w:val="left"/>
      <w:pPr>
        <w:tabs>
          <w:tab w:val="left" w:pos="5760"/>
        </w:tabs>
        <w:ind w:left="5760" w:firstLine="65176"/>
      </w:pPr>
    </w:lvl>
    <w:lvl w:ilvl="8" w:tentative="1">
      <w:start w:val="1"/>
      <w:numFmt w:val="decimal"/>
      <w:lvlText w:val="%9."/>
      <w:lvlJc w:val="left"/>
      <w:pPr>
        <w:tabs>
          <w:tab w:val="left" w:pos="6480"/>
        </w:tabs>
        <w:ind w:left="6480" w:firstLine="65176"/>
      </w:pPr>
    </w:lvl>
  </w:abstractNum>
  <w:num w:numId="1">
    <w:abstractNumId w:val="1913692045"/>
  </w:num>
  <w:num w:numId="2">
    <w:abstractNumId w:val="575359739"/>
  </w:num>
  <w:num w:numId="3">
    <w:abstractNumId w:val="40272714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0511F"/>
    <w:rsid w:val="06663079"/>
    <w:rsid w:val="06945A64"/>
    <w:rsid w:val="0A517BBE"/>
    <w:rsid w:val="0BD24513"/>
    <w:rsid w:val="11471865"/>
    <w:rsid w:val="12E92275"/>
    <w:rsid w:val="159079B0"/>
    <w:rsid w:val="1FBE12A2"/>
    <w:rsid w:val="292873C6"/>
    <w:rsid w:val="298272F5"/>
    <w:rsid w:val="2B717107"/>
    <w:rsid w:val="30CE31BE"/>
    <w:rsid w:val="3110630F"/>
    <w:rsid w:val="39B674F1"/>
    <w:rsid w:val="3D132576"/>
    <w:rsid w:val="421F49D1"/>
    <w:rsid w:val="42451FEF"/>
    <w:rsid w:val="44C406AE"/>
    <w:rsid w:val="48A22F9F"/>
    <w:rsid w:val="48FC489C"/>
    <w:rsid w:val="49A61B8E"/>
    <w:rsid w:val="549F6F9C"/>
    <w:rsid w:val="54BC2F6F"/>
    <w:rsid w:val="594716B7"/>
    <w:rsid w:val="597621E6"/>
    <w:rsid w:val="5AA50521"/>
    <w:rsid w:val="5D7E0BD2"/>
    <w:rsid w:val="60EB7B94"/>
    <w:rsid w:val="687D4C50"/>
    <w:rsid w:val="6A7D48E1"/>
    <w:rsid w:val="6C9D02E1"/>
    <w:rsid w:val="6E3D362C"/>
    <w:rsid w:val="75354274"/>
    <w:rsid w:val="794D54C1"/>
    <w:rsid w:val="794E4580"/>
    <w:rsid w:val="79974BFF"/>
    <w:rsid w:val="7DF267BD"/>
    <w:rsid w:val="7EB32C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character" w:customStyle="1" w:styleId="5">
    <w:name w:val="15"/>
    <w:basedOn w:val="2"/>
    <w:qFormat/>
    <w:uiPriority w:val="0"/>
    <w:rPr>
      <w:rFonts w:hint="default" w:ascii="Times New Roman" w:hAnsi="Times New Roman" w:cs="Times New Roman"/>
    </w:rPr>
  </w:style>
  <w:style w:type="paragraph" w:customStyle="1" w:styleId="6">
    <w:name w:val="WPSOffice手动目录 2"/>
    <w:basedOn w:val="1"/>
    <w:qFormat/>
    <w:uiPriority w:val="0"/>
    <w:pPr>
      <w:widowControl/>
      <w:ind w:leftChars="200"/>
      <w:jc w:val="left"/>
    </w:pPr>
    <w:rPr>
      <w:rFonts w:hint="default" w:ascii="Times New Roman" w:hAnsi="Times New Roman" w:cs="Times New Roman"/>
      <w:kern w:val="0"/>
      <w:sz w:val="20"/>
      <w:szCs w:val="20"/>
      <w:lang w:val="en-US" w:eastAsia="zh-CN" w:bidi="ar"/>
    </w:rPr>
  </w:style>
  <w:style w:type="paragraph" w:customStyle="1" w:styleId="7">
    <w:name w:val="WPSOffice手动目录 1"/>
    <w:basedOn w:val="1"/>
    <w:qFormat/>
    <w:uiPriority w:val="0"/>
    <w:pPr>
      <w:widowControl/>
      <w:ind w:leftChars="0"/>
      <w:jc w:val="left"/>
    </w:pPr>
    <w:rPr>
      <w:rFonts w:hint="default" w:ascii="Times New Roman" w:hAnsi="Times New Roman" w:cs="Times New Roman"/>
      <w:kern w:val="0"/>
      <w:sz w:val="20"/>
      <w:szCs w:val="20"/>
      <w:lang w:val="en-US" w:eastAsia="zh-CN" w:bidi="ar"/>
    </w:rPr>
  </w:style>
  <w:style w:type="character" w:customStyle="1" w:styleId="8">
    <w:name w:val="10"/>
    <w:basedOn w:val="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2022-11-08T02:53:00Z</dcterms:created>
  <dc:creator>Administrator</dc:creator>
  <cp:lastModifiedBy>Administrator</cp:lastModifiedBy>
  <cp:lastPrinted>2023-09-22T09:06:00Z</cp:lastPrinted>
  <dcterms:modified xsi:type="dcterms:W3CDTF">2023-09-25T08:51:37Z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