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sz w:val="30"/>
          <w:szCs w:val="30"/>
        </w:rPr>
      </w:pPr>
    </w:p>
    <w:p>
      <w:pPr>
        <w:jc w:val="center"/>
        <w:rPr>
          <w:rFonts w:ascii="黑体" w:hAnsi="ˎ̥" w:eastAsia="黑体"/>
          <w:b/>
          <w:sz w:val="32"/>
          <w:szCs w:val="32"/>
        </w:rPr>
      </w:pPr>
      <w:r>
        <w:rPr>
          <w:rFonts w:hint="eastAsia" w:ascii="黑体" w:hAnsi="ˎ̥" w:eastAsia="黑体"/>
          <w:sz w:val="44"/>
          <w:szCs w:val="44"/>
        </w:rPr>
        <w:t>三亚市天涯区金鸡岭路大社区综合服务中心</w:t>
      </w:r>
      <w:r>
        <w:rPr>
          <w:rFonts w:hint="eastAsia" w:ascii="黑体" w:hAnsi="ˎ̥" w:eastAsia="黑体"/>
          <w:sz w:val="44"/>
          <w:szCs w:val="44"/>
          <w:lang w:val="en-US" w:eastAsia="zh-CN"/>
        </w:rPr>
        <w:t>(本级）</w:t>
      </w:r>
      <w:r>
        <w:rPr>
          <w:rFonts w:hint="eastAsia" w:ascii="黑体" w:hAnsi="ˎ̥" w:eastAsia="黑体"/>
          <w:sz w:val="44"/>
          <w:szCs w:val="44"/>
        </w:rPr>
        <w:t>202</w:t>
      </w:r>
      <w:r>
        <w:rPr>
          <w:rFonts w:hint="eastAsia" w:ascii="黑体" w:hAnsi="ˎ̥" w:eastAsia="黑体"/>
          <w:sz w:val="44"/>
          <w:szCs w:val="44"/>
          <w:lang w:val="en-US" w:eastAsia="zh-CN"/>
        </w:rPr>
        <w:t>2</w:t>
      </w:r>
      <w:r>
        <w:rPr>
          <w:rFonts w:hint="eastAsia" w:ascii="黑体" w:hAnsi="ˎ̥" w:eastAsia="黑体"/>
          <w:sz w:val="44"/>
          <w:szCs w:val="44"/>
        </w:rPr>
        <w:t>年度</w:t>
      </w:r>
      <w:r>
        <w:rPr>
          <w:rFonts w:hint="eastAsia" w:ascii="黑体" w:hAnsi="ˎ̥" w:eastAsia="黑体"/>
          <w:sz w:val="44"/>
          <w:szCs w:val="44"/>
          <w:lang w:eastAsia="zh-CN"/>
        </w:rPr>
        <w:t>单位</w:t>
      </w:r>
      <w:r>
        <w:rPr>
          <w:rFonts w:hint="eastAsia" w:ascii="黑体" w:hAnsi="ˎ̥" w:eastAsia="黑体"/>
          <w:sz w:val="44"/>
          <w:szCs w:val="44"/>
        </w:rPr>
        <w:t>决算</w:t>
      </w: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0"/>
        <w:tabs>
          <w:tab w:val="right" w:leader="dot" w:pos="8306"/>
        </w:tabs>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第一部分  三亚市天涯区金鸡岭路大社区综合服务中心部门概况</w:t>
      </w:r>
      <w:r>
        <w:rPr>
          <w:sz w:val="32"/>
          <w:szCs w:val="32"/>
        </w:rPr>
        <w:tab/>
      </w:r>
      <w:r>
        <w:rPr>
          <w:rFonts w:hint="eastAsia"/>
          <w:sz w:val="32"/>
          <w:szCs w:val="32"/>
        </w:rPr>
        <w:t>3</w:t>
      </w:r>
      <w:r>
        <w:rPr>
          <w:rFonts w:hint="eastAsia"/>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一、部门基本概况</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"_Toc4833_WPSOffice_Level2" </w:instrText>
      </w:r>
      <w: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10"/>
        <w:tabs>
          <w:tab w:val="right" w:leader="dot" w:pos="8306"/>
        </w:tabs>
        <w:rPr>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第二部分  三亚市天涯区金鸡岭路大社区部门202</w:t>
      </w:r>
      <w:r>
        <w:rPr>
          <w:rFonts w:hint="eastAsia" w:ascii="黑体" w:hAnsi="ˎ̥" w:eastAsia="黑体"/>
          <w:sz w:val="32"/>
          <w:szCs w:val="32"/>
          <w:lang w:val="en-US" w:eastAsia="zh-CN"/>
        </w:rPr>
        <w:t>2</w:t>
      </w:r>
      <w:r>
        <w:rPr>
          <w:rFonts w:hint="eastAsia" w:ascii="黑体" w:hAnsi="ˎ̥" w:eastAsia="黑体"/>
          <w:sz w:val="32"/>
          <w:szCs w:val="32"/>
        </w:rPr>
        <w:t>年度部门决算公开表</w:t>
      </w:r>
      <w:r>
        <w:rPr>
          <w:sz w:val="32"/>
          <w:szCs w:val="32"/>
        </w:rPr>
        <w:tab/>
      </w:r>
      <w:r>
        <w:rPr>
          <w:rFonts w:hint="eastAsia"/>
          <w:sz w:val="32"/>
          <w:szCs w:val="32"/>
        </w:rPr>
        <w:t>4</w:t>
      </w:r>
      <w:r>
        <w:rPr>
          <w:rFonts w:hint="eastAsia"/>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"_Toc11518_WPSOffice_Level2" </w:instrText>
      </w:r>
      <w:r>
        <w:fldChar w:fldCharType="separate"/>
      </w:r>
      <w:r>
        <w:rPr>
          <w:rFonts w:hint="eastAsia" w:ascii="仿宋" w:hAnsi="仿宋" w:eastAsia="仿宋" w:cs="仿宋"/>
          <w:sz w:val="32"/>
          <w:szCs w:val="32"/>
        </w:rPr>
        <w:t>一、收入支出决算公开表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"_Toc28622_WPSOffice_Level2" </w:instrText>
      </w:r>
      <w:r>
        <w:fldChar w:fldCharType="separate"/>
      </w:r>
      <w:r>
        <w:rPr>
          <w:rFonts w:hint="eastAsia" w:ascii="仿宋" w:hAnsi="仿宋" w:eastAsia="仿宋" w:cs="仿宋"/>
          <w:sz w:val="32"/>
          <w:szCs w:val="32"/>
        </w:rPr>
        <w:t>二、收入决算公开表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"_Toc5489_WPSOffice_Level2" </w:instrText>
      </w:r>
      <w:r>
        <w:fldChar w:fldCharType="separate"/>
      </w:r>
      <w:r>
        <w:rPr>
          <w:rFonts w:hint="eastAsia" w:ascii="仿宋" w:hAnsi="仿宋" w:eastAsia="仿宋" w:cs="仿宋"/>
          <w:sz w:val="32"/>
          <w:szCs w:val="32"/>
        </w:rPr>
        <w:t>三、支出决算公开表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"_Toc23493_WPSOffice_Level2" </w:instrText>
      </w:r>
      <w:r>
        <w:fldChar w:fldCharType="separate"/>
      </w:r>
      <w:r>
        <w:rPr>
          <w:rFonts w:hint="eastAsia" w:ascii="仿宋" w:hAnsi="仿宋" w:eastAsia="仿宋" w:cs="仿宋"/>
          <w:sz w:val="32"/>
          <w:szCs w:val="32"/>
        </w:rPr>
        <w:t>四、 财政拨款收入支出决算公开表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"_Toc7879_WPSOffice_Level2" </w:instrText>
      </w:r>
      <w:r>
        <w:fldChar w:fldCharType="separate"/>
      </w:r>
      <w:r>
        <w:rPr>
          <w:rFonts w:hint="eastAsia" w:ascii="仿宋" w:hAnsi="仿宋" w:eastAsia="仿宋" w:cs="仿宋"/>
          <w:sz w:val="32"/>
          <w:szCs w:val="32"/>
        </w:rPr>
        <w:t>五、一般公共预算财政拨款收入支出决算公开表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"_Toc8373_WPSOffice_Level2" </w:instrText>
      </w:r>
      <w:r>
        <w:fldChar w:fldCharType="separate"/>
      </w:r>
      <w:r>
        <w:rPr>
          <w:rFonts w:hint="eastAsia" w:ascii="仿宋" w:hAnsi="仿宋" w:eastAsia="仿宋" w:cs="仿宋"/>
          <w:sz w:val="32"/>
          <w:szCs w:val="32"/>
        </w:rPr>
        <w:t>六、一般公共预算财政拨款基本支出决算公开表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"_Toc1820_WPSOffice_Level2" </w:instrText>
      </w:r>
      <w:r>
        <w:fldChar w:fldCharType="separate"/>
      </w:r>
      <w:r>
        <w:rPr>
          <w:rFonts w:hint="eastAsia" w:ascii="仿宋" w:hAnsi="仿宋" w:eastAsia="仿宋" w:cs="仿宋"/>
          <w:sz w:val="32"/>
          <w:szCs w:val="32"/>
        </w:rPr>
        <w:t>七、政府性基金预算财政拨款收入支出决算公开表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2"/>
          <w:szCs w:val="32"/>
        </w:rPr>
        <w:t>八、一般公共预算财政拨款“三公”经费支出决算公开表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2"/>
          <w:szCs w:val="32"/>
        </w:rPr>
        <w:t>九、政府性基金预算财政拨款“三公”经费支出决算公开表</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0"/>
        <w:tabs>
          <w:tab w:val="right" w:leader="dot" w:pos="8306"/>
        </w:tabs>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hint="eastAsia" w:ascii="黑体" w:hAnsi="ˎ̥" w:eastAsia="黑体"/>
          <w:sz w:val="32"/>
          <w:szCs w:val="32"/>
        </w:rPr>
        <w:t>三亚市天涯区金鸡岭路大社区部门202</w:t>
      </w:r>
      <w:r>
        <w:rPr>
          <w:rFonts w:hint="eastAsia" w:ascii="黑体" w:hAnsi="ˎ̥" w:eastAsia="黑体"/>
          <w:sz w:val="32"/>
          <w:szCs w:val="32"/>
          <w:lang w:val="en-US" w:eastAsia="zh-CN"/>
        </w:rPr>
        <w:t>2</w:t>
      </w:r>
      <w:r>
        <w:rPr>
          <w:rFonts w:hint="eastAsia" w:ascii="黑体" w:hAnsi="ˎ̥" w:eastAsia="黑体"/>
          <w:sz w:val="32"/>
          <w:szCs w:val="32"/>
        </w:rPr>
        <w:t>年度部门决算情况说明</w:t>
      </w:r>
      <w:r>
        <w:rPr>
          <w:rFonts w:hint="eastAsia" w:ascii="仿宋" w:hAnsi="仿宋" w:eastAsia="仿宋" w:cs="仿宋"/>
          <w:sz w:val="32"/>
          <w:szCs w:val="32"/>
        </w:rPr>
        <w:tab/>
      </w:r>
      <w:r>
        <w:rPr>
          <w:rFonts w:hint="eastAsia" w:eastAsia="黑体"/>
          <w:sz w:val="32"/>
          <w:szCs w:val="32"/>
        </w:rPr>
        <w:t>5</w:t>
      </w:r>
      <w:r>
        <w:rPr>
          <w:rFonts w:hint="eastAsia" w:eastAsia="黑体"/>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一、收入支出决算总体情况说明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bCs/>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1"/>
        <w:numPr>
          <w:ilvl w:val="0"/>
          <w:numId w:val="1"/>
        </w:numPr>
        <w:tabs>
          <w:tab w:val="right" w:leader="dot" w:pos="8306"/>
        </w:tabs>
        <w:ind w:leftChars="0"/>
        <w:rPr>
          <w:rFonts w:ascii="仿宋" w:hAnsi="仿宋" w:eastAsia="仿宋" w:cs="仿宋"/>
          <w:sz w:val="32"/>
          <w:szCs w:val="32"/>
        </w:rPr>
      </w:pPr>
      <w:r>
        <w:rPr>
          <w:rFonts w:hint="eastAsia" w:ascii="仿宋" w:hAnsi="仿宋" w:eastAsia="仿宋" w:cs="仿宋"/>
          <w:bCs/>
          <w:sz w:val="32"/>
          <w:szCs w:val="32"/>
        </w:rPr>
        <w:t>政府性基金预算财政拨款收入支出决算情况说明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rPr>
        <w:t>6</w:t>
      </w:r>
    </w:p>
    <w:p>
      <w:pPr>
        <w:pStyle w:val="11"/>
        <w:numPr>
          <w:ilvl w:val="0"/>
          <w:numId w:val="1"/>
        </w:numPr>
        <w:tabs>
          <w:tab w:val="right" w:leader="dot" w:pos="8306"/>
        </w:tabs>
        <w:ind w:leftChars="0"/>
        <w:rPr>
          <w:rFonts w:ascii="仿宋" w:hAnsi="仿宋" w:eastAsia="仿宋" w:cs="仿宋"/>
          <w:sz w:val="32"/>
          <w:szCs w:val="32"/>
        </w:rPr>
      </w:pPr>
      <w:r>
        <w:rPr>
          <w:rFonts w:hint="eastAsia" w:ascii="仿宋" w:hAnsi="仿宋" w:eastAsia="仿宋" w:cs="仿宋"/>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6</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九</w:t>
      </w:r>
      <w:r>
        <w:rPr>
          <w:rFonts w:hint="eastAsia" w:ascii="仿宋" w:hAnsi="仿宋" w:eastAsia="仿宋" w:cs="仿宋"/>
          <w:bCs/>
          <w:sz w:val="32"/>
          <w:szCs w:val="32"/>
        </w:rPr>
        <w:t>、</w:t>
      </w:r>
      <w:r>
        <w:rPr>
          <w:rFonts w:hint="eastAsia" w:ascii="仿宋" w:hAnsi="仿宋" w:eastAsia="仿宋" w:cs="仿宋"/>
          <w:bCs/>
          <w:w w:val="98"/>
          <w:sz w:val="32"/>
          <w:szCs w:val="32"/>
        </w:rPr>
        <w:t>一般公共预算财政拨款“三公”经费支出决算情况说明</w:t>
      </w:r>
    </w:p>
    <w:p>
      <w:pPr>
        <w:pStyle w:val="11"/>
        <w:tabs>
          <w:tab w:val="right" w:leader="dot" w:pos="8306"/>
        </w:tabs>
        <w:ind w:leftChars="0"/>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十</w:t>
      </w:r>
      <w:r>
        <w:rPr>
          <w:rFonts w:hint="eastAsia" w:ascii="仿宋" w:hAnsi="仿宋" w:eastAsia="仿宋" w:cs="仿宋"/>
          <w:bCs/>
          <w:sz w:val="32"/>
          <w:szCs w:val="32"/>
        </w:rPr>
        <w:t>、</w:t>
      </w:r>
      <w:r>
        <w:rPr>
          <w:rFonts w:hint="eastAsia" w:ascii="仿宋" w:hAnsi="仿宋" w:eastAsia="仿宋" w:cs="仿宋"/>
          <w:bCs/>
          <w:w w:val="98"/>
          <w:sz w:val="32"/>
          <w:szCs w:val="32"/>
        </w:rPr>
        <w:t>政府性基金预算财政拨款“三公”经费支出决算情况说明</w:t>
      </w:r>
    </w:p>
    <w:p>
      <w:pPr>
        <w:pStyle w:val="11"/>
        <w:tabs>
          <w:tab w:val="right" w:leader="dot" w:pos="8306"/>
        </w:tabs>
        <w:ind w:leftChars="0"/>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8</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bCs/>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十一、国有资本经营预算财政拨款</w:t>
      </w:r>
      <w:r>
        <w:rPr>
          <w:rFonts w:hint="eastAsia" w:ascii="仿宋" w:hAnsi="仿宋" w:eastAsia="仿宋" w:cs="仿宋"/>
          <w:bCs/>
          <w:w w:val="98"/>
          <w:sz w:val="32"/>
          <w:szCs w:val="32"/>
        </w:rPr>
        <w:t>“三公”经费支出决算情况说明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1"/>
        <w:tabs>
          <w:tab w:val="right" w:leader="dot" w:pos="8306"/>
        </w:tabs>
        <w:ind w:leftChars="0"/>
        <w:rPr>
          <w:rFonts w:ascii="仿宋" w:hAnsi="仿宋" w:eastAsia="仿宋" w:cs="仿宋"/>
          <w:sz w:val="32"/>
          <w:szCs w:val="32"/>
        </w:rPr>
      </w:pPr>
      <w:r>
        <w:rPr>
          <w:rFonts w:hint="eastAsia" w:ascii="仿宋" w:hAnsi="仿宋" w:eastAsia="仿宋" w:cs="仿宋"/>
          <w:bCs/>
          <w:sz w:val="32"/>
          <w:szCs w:val="32"/>
        </w:rPr>
        <w:t>十二、预算绩效情况说明</w:t>
      </w:r>
      <w:r>
        <w:rPr>
          <w:rFonts w:hint="eastAsia" w:ascii="仿宋" w:hAnsi="仿宋" w:eastAsia="仿宋" w:cs="仿宋"/>
          <w:sz w:val="32"/>
          <w:szCs w:val="32"/>
        </w:rPr>
        <w:tab/>
      </w:r>
      <w:r>
        <w:rPr>
          <w:rFonts w:hint="eastAsia" w:ascii="仿宋" w:hAnsi="仿宋" w:eastAsia="仿宋" w:cs="仿宋"/>
          <w:sz w:val="32"/>
          <w:szCs w:val="32"/>
        </w:rPr>
        <w:t>9</w:t>
      </w:r>
      <w:r>
        <w:rPr>
          <w:rFonts w:hint="eastAsia" w:ascii="仿宋" w:hAnsi="仿宋" w:eastAsia="仿宋" w:cs="仿宋"/>
          <w:sz w:val="32"/>
          <w:szCs w:val="32"/>
        </w:rPr>
        <w:fldChar w:fldCharType="end"/>
      </w:r>
    </w:p>
    <w:p>
      <w:pPr>
        <w:pStyle w:val="11"/>
        <w:tabs>
          <w:tab w:val="right" w:leader="dot" w:pos="8306"/>
        </w:tabs>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十三、其他重要事项情况说明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0"/>
        <w:tabs>
          <w:tab w:val="right" w:leader="dot" w:pos="8306"/>
        </w:tabs>
        <w:rPr>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第四部分名词解释</w:t>
      </w:r>
      <w:r>
        <w:rPr>
          <w:sz w:val="32"/>
          <w:szCs w:val="32"/>
        </w:rPr>
        <w:tab/>
      </w:r>
      <w:bookmarkStart w:id="1" w:name="_Toc15425_WPSOffice_Level1Page"/>
      <w:r>
        <w:rPr>
          <w:sz w:val="32"/>
          <w:szCs w:val="32"/>
        </w:rPr>
        <w:t>1</w:t>
      </w:r>
      <w:bookmarkEnd w:id="1"/>
      <w:r>
        <w:rPr>
          <w:rFonts w:hint="eastAsia"/>
          <w:sz w:val="32"/>
          <w:szCs w:val="32"/>
        </w:rPr>
        <w:t>0</w:t>
      </w:r>
      <w:r>
        <w:rPr>
          <w:rFonts w:hint="eastAsia"/>
          <w:sz w:val="32"/>
          <w:szCs w:val="32"/>
        </w:rPr>
        <w:fldChar w:fldCharType="end"/>
      </w:r>
      <w:bookmarkEnd w:id="0"/>
    </w:p>
    <w:p>
      <w:pPr>
        <w:jc w:val="left"/>
        <w:rPr>
          <w:rFonts w:ascii="黑体" w:hAnsi="黑体" w:eastAsia="黑体" w:cs="黑体"/>
          <w:sz w:val="32"/>
          <w:szCs w:val="32"/>
        </w:rPr>
      </w:pPr>
    </w:p>
    <w:p>
      <w:pPr>
        <w:jc w:val="center"/>
        <w:rPr>
          <w:rFonts w:ascii="黑体" w:hAnsi="ˎ̥" w:eastAsia="黑体"/>
          <w:b/>
          <w:sz w:val="32"/>
          <w:szCs w:val="32"/>
        </w:rPr>
      </w:pPr>
    </w:p>
    <w:p>
      <w:pPr>
        <w:ind w:left="105" w:leftChars="50"/>
        <w:jc w:val="left"/>
        <w:rPr>
          <w:rFonts w:ascii="黑体" w:hAnsi="ˎ̥" w:eastAsia="黑体"/>
          <w:sz w:val="32"/>
          <w:szCs w:val="32"/>
        </w:rPr>
      </w:pPr>
      <w:bookmarkStart w:id="2" w:name="_Toc1704_WPSOffice_Level1"/>
      <w:bookmarkStart w:id="3" w:name="_Toc10720_WPSOffice_Level1"/>
      <w:bookmarkStart w:id="4" w:name="_Toc22941_WPSOffice_Level1"/>
      <w:bookmarkStart w:id="5" w:name="_Toc32433_WPSOffice_Level1"/>
      <w:bookmarkStart w:id="6" w:name="_Toc10049_WPSOffice_Level1"/>
      <w:bookmarkStart w:id="7" w:name="_Toc23465_WPSOffice_Level1"/>
      <w:bookmarkStart w:id="8" w:name="_Toc20274_WPSOffice_Level2"/>
      <w:bookmarkStart w:id="9" w:name="_Toc14159_WPSOffice_Level2"/>
      <w:bookmarkStart w:id="10" w:name="_Toc26580_WPSOffice_Level2"/>
      <w:bookmarkStart w:id="11" w:name="_Toc24238_WPSOffice_Level2"/>
      <w:bookmarkStart w:id="12" w:name="_Toc32622_WPSOffice_Level2"/>
      <w:bookmarkStart w:id="13" w:name="_Toc20205_WPSOffice_Level2"/>
      <w:r>
        <w:rPr>
          <w:rFonts w:hint="eastAsia" w:ascii="黑体" w:hAnsi="ˎ̥" w:eastAsia="黑体"/>
          <w:sz w:val="32"/>
          <w:szCs w:val="32"/>
        </w:rPr>
        <w:t>第一部分 三亚市天涯区金鸡岭路大社区</w:t>
      </w:r>
      <w:r>
        <w:rPr>
          <w:rFonts w:hint="eastAsia" w:ascii="黑体" w:hAnsi="ˎ̥" w:eastAsia="黑体"/>
          <w:sz w:val="32"/>
          <w:szCs w:val="32"/>
          <w:lang w:eastAsia="zh-CN"/>
        </w:rPr>
        <w:t>单位</w:t>
      </w:r>
      <w:r>
        <w:rPr>
          <w:rFonts w:hint="eastAsia" w:ascii="黑体" w:hAnsi="ˎ̥" w:eastAsia="黑体"/>
          <w:sz w:val="32"/>
          <w:szCs w:val="32"/>
        </w:rPr>
        <w:t>基本概况</w:t>
      </w:r>
      <w:bookmarkEnd w:id="2"/>
      <w:bookmarkEnd w:id="3"/>
      <w:bookmarkEnd w:id="4"/>
      <w:bookmarkEnd w:id="5"/>
      <w:bookmarkEnd w:id="6"/>
      <w:bookmarkEnd w:id="7"/>
    </w:p>
    <w:bookmarkEnd w:id="8"/>
    <w:bookmarkEnd w:id="9"/>
    <w:bookmarkEnd w:id="10"/>
    <w:bookmarkEnd w:id="11"/>
    <w:bookmarkEnd w:id="12"/>
    <w:bookmarkEnd w:id="13"/>
    <w:p>
      <w:pPr>
        <w:ind w:left="105" w:leftChars="50"/>
        <w:jc w:val="left"/>
        <w:rPr>
          <w:rFonts w:ascii="黑体" w:hAnsi="黑体" w:eastAsia="黑体" w:cs="黑体"/>
          <w:b/>
          <w:bCs/>
          <w:color w:val="0D0D0D"/>
          <w:kern w:val="0"/>
          <w:sz w:val="32"/>
          <w:szCs w:val="32"/>
        </w:rPr>
      </w:pPr>
    </w:p>
    <w:p>
      <w:pPr>
        <w:ind w:left="105" w:leftChars="50"/>
        <w:jc w:val="left"/>
        <w:rPr>
          <w:rFonts w:ascii="黑体" w:hAnsi="黑体" w:eastAsia="黑体" w:cs="黑体"/>
          <w:b/>
          <w:bCs/>
          <w:color w:val="0D0D0D"/>
          <w:kern w:val="0"/>
          <w:sz w:val="32"/>
          <w:szCs w:val="32"/>
        </w:rPr>
      </w:pPr>
      <w:r>
        <w:rPr>
          <w:rFonts w:hint="eastAsia" w:ascii="黑体" w:hAnsi="黑体" w:eastAsia="黑体" w:cs="黑体"/>
          <w:b/>
          <w:bCs/>
          <w:color w:val="0D0D0D"/>
          <w:kern w:val="0"/>
          <w:sz w:val="32"/>
          <w:szCs w:val="32"/>
        </w:rPr>
        <w:t>一、</w:t>
      </w:r>
      <w:r>
        <w:rPr>
          <w:rFonts w:hint="eastAsia" w:ascii="黑体" w:hAnsi="黑体" w:eastAsia="黑体" w:cs="黑体"/>
          <w:b/>
          <w:bCs/>
          <w:color w:val="0D0D0D"/>
          <w:kern w:val="0"/>
          <w:sz w:val="32"/>
          <w:szCs w:val="32"/>
          <w:lang w:eastAsia="zh-CN"/>
        </w:rPr>
        <w:t>单位</w:t>
      </w:r>
      <w:r>
        <w:rPr>
          <w:rFonts w:hint="eastAsia" w:ascii="黑体" w:hAnsi="黑体" w:eastAsia="黑体" w:cs="黑体"/>
          <w:b/>
          <w:bCs/>
          <w:color w:val="0D0D0D"/>
          <w:kern w:val="0"/>
          <w:sz w:val="32"/>
          <w:szCs w:val="32"/>
        </w:rPr>
        <w:t>基本概况</w:t>
      </w:r>
    </w:p>
    <w:p>
      <w:pPr>
        <w:ind w:left="105" w:leftChars="50" w:firstLine="640" w:firstLineChars="200"/>
        <w:jc w:val="left"/>
        <w:rPr>
          <w:rFonts w:ascii="仿宋" w:hAnsi="仿宋" w:eastAsia="仿宋" w:cs="仿宋"/>
          <w:sz w:val="32"/>
          <w:szCs w:val="32"/>
        </w:rPr>
      </w:pPr>
      <w:r>
        <w:rPr>
          <w:rFonts w:hint="eastAsia" w:ascii="仿宋" w:hAnsi="仿宋" w:eastAsia="仿宋" w:cs="仿宋"/>
          <w:sz w:val="32"/>
          <w:szCs w:val="32"/>
        </w:rPr>
        <w:t>2020年8月，根据《三亚市大社区综合服务中心设立和运行实施方案》成立金鸡岭路大社区综合服务中心，服务覆盖友谊路社区、机场路社区、金鸡岭路社区、场站社区、岭北社区、育春路社区和鸭仔塘社区共7个社区，服务人口约4.</w:t>
      </w:r>
      <w:r>
        <w:rPr>
          <w:rFonts w:ascii="仿宋" w:hAnsi="仿宋" w:eastAsia="仿宋" w:cs="仿宋"/>
          <w:sz w:val="32"/>
          <w:szCs w:val="32"/>
        </w:rPr>
        <w:t>4</w:t>
      </w:r>
      <w:r>
        <w:rPr>
          <w:rFonts w:hint="eastAsia" w:ascii="仿宋" w:hAnsi="仿宋" w:eastAsia="仿宋" w:cs="仿宋"/>
          <w:sz w:val="32"/>
          <w:szCs w:val="32"/>
        </w:rPr>
        <w:t>万余人，</w:t>
      </w:r>
      <w:r>
        <w:rPr>
          <w:rFonts w:hint="eastAsia" w:ascii="仿宋_GB2312" w:hAnsi="仿宋_GB2312" w:eastAsia="仿宋_GB2312" w:cs="仿宋_GB2312"/>
          <w:sz w:val="32"/>
          <w:szCs w:val="32"/>
        </w:rPr>
        <w:t>主要承办市、区两级下沉的城乡基层公共服务与公共事务服务等方面的职能</w:t>
      </w:r>
      <w:r>
        <w:rPr>
          <w:rFonts w:hint="eastAsia" w:ascii="仿宋" w:hAnsi="仿宋" w:eastAsia="仿宋" w:cs="仿宋"/>
          <w:color w:val="000000"/>
          <w:kern w:val="0"/>
          <w:sz w:val="32"/>
          <w:szCs w:val="32"/>
        </w:rPr>
        <w:t>。</w:t>
      </w:r>
    </w:p>
    <w:p>
      <w:pPr>
        <w:jc w:val="left"/>
        <w:rPr>
          <w:rFonts w:ascii="仿宋" w:hAnsi="仿宋" w:eastAsia="仿宋" w:cs="仿宋"/>
          <w:color w:val="000000"/>
          <w:kern w:val="0"/>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承办市、区两级下沉到金鸡岭路大社区的党群服务、政务服务、公共治理服务、生活服务、公共法律服务、健康服务、文化服务、劳动就业和社会保障服务等方面的基层服务及管理功能。</w:t>
      </w:r>
      <w:r>
        <w:rPr>
          <w:rFonts w:hint="eastAsia" w:ascii="仿宋" w:hAnsi="仿宋" w:eastAsia="仿宋" w:cs="仿宋"/>
          <w:color w:val="000000"/>
          <w:kern w:val="0"/>
          <w:sz w:val="32"/>
          <w:szCs w:val="32"/>
        </w:rPr>
        <w:t>2.抓好区工会自身建设，指导基层工会开展职工之家建设。</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承接上级党委、人大、政府、政协和有关职能部门授权或委托的各项审批、管理事项；制定金鸡岭路大社区服务范围内的各项规章制度；为村、居民提供市、区两级政务审批事项服务的报送等。</w:t>
      </w:r>
    </w:p>
    <w:p>
      <w:pPr>
        <w:ind w:left="105" w:leftChars="50"/>
        <w:jc w:val="left"/>
        <w:rPr>
          <w:rFonts w:ascii="黑体" w:hAnsi="黑体" w:eastAsia="黑体" w:cs="黑体"/>
          <w:b/>
          <w:bCs/>
          <w:color w:val="0D0D0D"/>
          <w:kern w:val="0"/>
          <w:sz w:val="32"/>
          <w:szCs w:val="32"/>
        </w:rPr>
      </w:pPr>
      <w:bookmarkStart w:id="14" w:name="_Toc24421_WPSOffice_Level2"/>
      <w:bookmarkStart w:id="15" w:name="_Toc25738_WPSOffice_Level2"/>
      <w:r>
        <w:rPr>
          <w:rFonts w:hint="eastAsia" w:ascii="黑体" w:hAnsi="黑体" w:eastAsia="黑体" w:cs="黑体"/>
          <w:b/>
          <w:bCs/>
          <w:color w:val="0D0D0D"/>
          <w:kern w:val="0"/>
          <w:sz w:val="32"/>
          <w:szCs w:val="32"/>
        </w:rPr>
        <w:t>二、机构设置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三亚市关于推进三亚市大社区综合服务中心建设的实施方案》文件精神，金鸡岭路大社区按照精简、高效、灵活的原则设置内设机构，综合我区实际，采取“7+N”模式设置，在原有内设基本部门7个，即综合办公室、党政服务部、社会事务受理服务部、社区治理服务部、社会工作服务部、卫生健康服务部、文化服务部的基础上，增设了退役军人事务服务部站、人大代表工作站、基层协商民主议事室。</w:t>
      </w:r>
    </w:p>
    <w:p>
      <w:pPr>
        <w:spacing w:line="578" w:lineRule="exact"/>
        <w:ind w:firstLine="640"/>
        <w:rPr>
          <w:rFonts w:ascii="仿宋_GB2312" w:hAnsi="黑体" w:eastAsia="仿宋_GB2312" w:cs="仿宋_GB2312"/>
          <w:color w:val="000000" w:themeColor="text1"/>
          <w:sz w:val="32"/>
          <w:szCs w:val="32"/>
        </w:rPr>
      </w:pPr>
      <w:r>
        <w:rPr>
          <w:rFonts w:hint="eastAsia" w:ascii="仿宋_GB2312" w:hAnsi="黑体" w:eastAsia="仿宋_GB2312" w:cs="仿宋_GB2312"/>
          <w:color w:val="000000" w:themeColor="text1"/>
          <w:sz w:val="32"/>
          <w:szCs w:val="32"/>
        </w:rPr>
        <w:t>。</w:t>
      </w:r>
    </w:p>
    <w:bookmarkEnd w:id="14"/>
    <w:bookmarkEnd w:id="15"/>
    <w:p>
      <w:pPr>
        <w:jc w:val="center"/>
        <w:rPr>
          <w:rFonts w:ascii="黑体" w:hAnsi="ˎ̥" w:eastAsia="黑体"/>
          <w:sz w:val="32"/>
          <w:szCs w:val="32"/>
        </w:rPr>
      </w:pPr>
      <w:bookmarkStart w:id="16" w:name="_Toc30690_WPSOffice_Level1"/>
      <w:bookmarkStart w:id="17" w:name="_Toc8164_WPSOffice_Level1"/>
      <w:bookmarkStart w:id="18" w:name="_Toc15521_WPSOffice_Level1"/>
      <w:bookmarkStart w:id="19" w:name="_Toc30451_WPSOffice_Level1"/>
      <w:bookmarkStart w:id="20" w:name="_Toc28253_WPSOffice_Level1"/>
      <w:bookmarkStart w:id="21" w:name="_Toc6234_WPSOffice_Level1"/>
      <w:bookmarkStart w:id="22" w:name="_Toc32695_WPSOffice_Level2"/>
      <w:bookmarkStart w:id="23" w:name="_Toc8867_WPSOffice_Level2"/>
      <w:bookmarkStart w:id="24" w:name="_Toc6211_WPSOffice_Level2"/>
      <w:bookmarkStart w:id="25" w:name="_Toc11518_WPSOffice_Level2"/>
      <w:bookmarkStart w:id="26" w:name="_Toc4029_WPSOffice_Level2"/>
      <w:bookmarkStart w:id="27" w:name="_Toc32472_WPSOffice_Level2"/>
      <w:r>
        <w:rPr>
          <w:rFonts w:hint="eastAsia" w:ascii="黑体" w:hAnsi="ˎ̥" w:eastAsia="黑体"/>
          <w:sz w:val="32"/>
          <w:szCs w:val="32"/>
        </w:rPr>
        <w:t>第二部分  天涯区金鸡岭大社区综合服务中心202</w:t>
      </w:r>
      <w:r>
        <w:rPr>
          <w:rFonts w:hint="eastAsia" w:ascii="黑体" w:hAnsi="ˎ̥" w:eastAsia="黑体"/>
          <w:sz w:val="32"/>
          <w:szCs w:val="32"/>
          <w:lang w:val="en-US" w:eastAsia="zh-CN"/>
        </w:rPr>
        <w:t>2</w:t>
      </w:r>
      <w:r>
        <w:rPr>
          <w:rFonts w:hint="eastAsia" w:ascii="黑体" w:hAnsi="ˎ̥" w:eastAsia="黑体"/>
          <w:sz w:val="32"/>
          <w:szCs w:val="32"/>
        </w:rPr>
        <w:t>年度</w:t>
      </w:r>
      <w:r>
        <w:rPr>
          <w:rFonts w:hint="eastAsia" w:ascii="黑体" w:hAnsi="ˎ̥" w:eastAsia="黑体"/>
          <w:sz w:val="32"/>
          <w:szCs w:val="32"/>
          <w:lang w:eastAsia="zh-CN"/>
        </w:rPr>
        <w:t>单位</w:t>
      </w:r>
      <w:r>
        <w:rPr>
          <w:rFonts w:hint="eastAsia" w:ascii="黑体" w:hAnsi="ˎ̥" w:eastAsia="黑体"/>
          <w:sz w:val="32"/>
          <w:szCs w:val="32"/>
        </w:rPr>
        <w:t>决算公开报表</w:t>
      </w:r>
      <w:bookmarkEnd w:id="16"/>
      <w:bookmarkEnd w:id="17"/>
      <w:bookmarkEnd w:id="18"/>
      <w:bookmarkEnd w:id="19"/>
      <w:bookmarkEnd w:id="20"/>
      <w:bookmarkEnd w:id="21"/>
    </w:p>
    <w:p>
      <w:pPr>
        <w:jc w:val="center"/>
        <w:rPr>
          <w:rFonts w:ascii="黑体" w:hAnsi="ˎ̥" w:eastAsia="黑体"/>
          <w:sz w:val="32"/>
          <w:szCs w:val="32"/>
        </w:rPr>
      </w:pPr>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一、收入支出决算公开表（见正文附表）</w:t>
      </w:r>
      <w:bookmarkEnd w:id="22"/>
      <w:bookmarkEnd w:id="23"/>
      <w:bookmarkEnd w:id="24"/>
      <w:r>
        <w:rPr>
          <w:rFonts w:hint="eastAsia" w:ascii="黑体" w:hAnsi="黑体" w:eastAsia="黑体" w:cs="黑体"/>
          <w:sz w:val="32"/>
          <w:szCs w:val="32"/>
        </w:rPr>
        <w:t>。</w:t>
      </w:r>
      <w:bookmarkEnd w:id="25"/>
      <w:bookmarkEnd w:id="26"/>
      <w:bookmarkEnd w:id="27"/>
    </w:p>
    <w:p>
      <w:pPr>
        <w:ind w:firstLine="645"/>
        <w:rPr>
          <w:rFonts w:ascii="黑体" w:hAnsi="黑体" w:eastAsia="黑体" w:cs="黑体"/>
          <w:sz w:val="32"/>
          <w:szCs w:val="32"/>
        </w:rPr>
      </w:pPr>
      <w:bookmarkStart w:id="28" w:name="_Toc26621_WPSOffice_Level2"/>
      <w:bookmarkStart w:id="29" w:name="_Toc25608_WPSOffice_Level2"/>
      <w:bookmarkStart w:id="30" w:name="_Toc23139_WPSOffice_Level2"/>
      <w:bookmarkStart w:id="31" w:name="_Toc28622_WPSOffice_Level2"/>
      <w:bookmarkStart w:id="32" w:name="_Toc30334_WPSOffice_Level2"/>
      <w:bookmarkStart w:id="33" w:name="_Toc14349_WPSOffice_Level2"/>
      <w:r>
        <w:rPr>
          <w:rFonts w:hint="eastAsia" w:ascii="黑体" w:hAnsi="黑体" w:eastAsia="黑体" w:cs="黑体"/>
          <w:sz w:val="32"/>
          <w:szCs w:val="32"/>
        </w:rPr>
        <w:t>二、收入决算公开表（见正文附件）</w:t>
      </w:r>
      <w:bookmarkEnd w:id="28"/>
      <w:bookmarkEnd w:id="29"/>
      <w:bookmarkEnd w:id="30"/>
      <w:r>
        <w:rPr>
          <w:rFonts w:hint="eastAsia" w:ascii="黑体" w:hAnsi="黑体" w:eastAsia="黑体" w:cs="黑体"/>
          <w:sz w:val="32"/>
          <w:szCs w:val="32"/>
        </w:rPr>
        <w:t>。</w:t>
      </w:r>
      <w:bookmarkEnd w:id="31"/>
      <w:bookmarkEnd w:id="32"/>
      <w:bookmarkEnd w:id="33"/>
    </w:p>
    <w:p>
      <w:pPr>
        <w:ind w:firstLine="645"/>
        <w:rPr>
          <w:rFonts w:ascii="黑体" w:hAnsi="黑体" w:eastAsia="黑体" w:cs="黑体"/>
          <w:sz w:val="32"/>
          <w:szCs w:val="32"/>
        </w:rPr>
      </w:pPr>
      <w:bookmarkStart w:id="34" w:name="_Toc3262_WPSOffice_Level2"/>
      <w:bookmarkStart w:id="35" w:name="_Toc17626_WPSOffice_Level2"/>
      <w:bookmarkStart w:id="36" w:name="_Toc17858_WPSOffice_Level2"/>
      <w:bookmarkStart w:id="37" w:name="_Toc13854_WPSOffice_Level2"/>
      <w:bookmarkStart w:id="38" w:name="_Toc5489_WPSOffice_Level2"/>
      <w:bookmarkStart w:id="39" w:name="_Toc14658_WPSOffice_Level2"/>
      <w:r>
        <w:rPr>
          <w:rFonts w:hint="eastAsia" w:ascii="黑体" w:hAnsi="黑体" w:eastAsia="黑体" w:cs="黑体"/>
          <w:sz w:val="32"/>
          <w:szCs w:val="32"/>
        </w:rPr>
        <w:t>三、支出决算公开表（见正文附件）</w:t>
      </w:r>
      <w:bookmarkEnd w:id="34"/>
      <w:bookmarkEnd w:id="35"/>
      <w:bookmarkEnd w:id="36"/>
      <w:r>
        <w:rPr>
          <w:rFonts w:hint="eastAsia" w:ascii="黑体" w:hAnsi="黑体" w:eastAsia="黑体" w:cs="黑体"/>
          <w:sz w:val="32"/>
          <w:szCs w:val="32"/>
        </w:rPr>
        <w:t>。</w:t>
      </w:r>
      <w:bookmarkEnd w:id="37"/>
      <w:bookmarkEnd w:id="38"/>
      <w:bookmarkEnd w:id="39"/>
    </w:p>
    <w:p>
      <w:pPr>
        <w:ind w:firstLine="645"/>
        <w:rPr>
          <w:rFonts w:ascii="黑体" w:hAnsi="黑体" w:eastAsia="黑体" w:cs="黑体"/>
          <w:sz w:val="32"/>
          <w:szCs w:val="32"/>
        </w:rPr>
      </w:pPr>
      <w:bookmarkStart w:id="40" w:name="_Toc21415_WPSOffice_Level2"/>
      <w:bookmarkStart w:id="41" w:name="_Toc13701_WPSOffice_Level2"/>
      <w:bookmarkStart w:id="42" w:name="_Toc23591_WPSOffice_Level2"/>
      <w:bookmarkStart w:id="43" w:name="_Toc4265_WPSOffice_Level2"/>
      <w:bookmarkStart w:id="44" w:name="_Toc7988_WPSOffice_Level2"/>
      <w:bookmarkStart w:id="45" w:name="_Toc23493_WPSOffice_Level2"/>
      <w:r>
        <w:rPr>
          <w:rFonts w:hint="eastAsia" w:ascii="黑体" w:hAnsi="黑体" w:eastAsia="黑体" w:cs="黑体"/>
          <w:sz w:val="32"/>
          <w:szCs w:val="32"/>
        </w:rPr>
        <w:t>四、财政拨款收入支出决算公开表（见正文附件）</w:t>
      </w:r>
      <w:bookmarkEnd w:id="40"/>
      <w:bookmarkEnd w:id="41"/>
      <w:bookmarkEnd w:id="42"/>
      <w:r>
        <w:rPr>
          <w:rFonts w:hint="eastAsia" w:ascii="黑体" w:hAnsi="黑体" w:eastAsia="黑体" w:cs="黑体"/>
          <w:sz w:val="32"/>
          <w:szCs w:val="32"/>
        </w:rPr>
        <w:t>。</w:t>
      </w:r>
      <w:bookmarkEnd w:id="43"/>
      <w:bookmarkEnd w:id="44"/>
      <w:bookmarkEnd w:id="45"/>
    </w:p>
    <w:p>
      <w:pPr>
        <w:ind w:firstLine="645"/>
        <w:rPr>
          <w:rFonts w:ascii="黑体" w:hAnsi="黑体" w:eastAsia="黑体" w:cs="黑体"/>
          <w:sz w:val="32"/>
          <w:szCs w:val="32"/>
        </w:rPr>
      </w:pPr>
      <w:bookmarkStart w:id="46" w:name="_Toc22783_WPSOffice_Level2"/>
      <w:bookmarkStart w:id="47" w:name="_Toc7879_WPSOffice_Level2"/>
      <w:bookmarkStart w:id="48" w:name="_Toc25166_WPSOffice_Level2"/>
      <w:bookmarkStart w:id="49" w:name="_Toc23829_WPSOffice_Level2"/>
      <w:bookmarkStart w:id="50" w:name="_Toc2158_WPSOffice_Level2"/>
      <w:bookmarkStart w:id="51" w:name="_Toc13516_WPSOffice_Level2"/>
      <w:r>
        <w:rPr>
          <w:rFonts w:hint="eastAsia" w:ascii="黑体" w:hAnsi="黑体" w:eastAsia="黑体" w:cs="黑体"/>
          <w:sz w:val="32"/>
          <w:szCs w:val="32"/>
        </w:rPr>
        <w:t>五、一般公共预算财政拨款收入支出决算</w:t>
      </w:r>
      <w:bookmarkEnd w:id="46"/>
      <w:bookmarkEnd w:id="47"/>
      <w:bookmarkEnd w:id="48"/>
      <w:bookmarkEnd w:id="49"/>
      <w:r>
        <w:rPr>
          <w:rFonts w:hint="eastAsia" w:ascii="黑体" w:hAnsi="黑体" w:eastAsia="黑体" w:cs="黑体"/>
          <w:sz w:val="32"/>
          <w:szCs w:val="32"/>
        </w:rPr>
        <w:t>公开表</w:t>
      </w:r>
    </w:p>
    <w:p>
      <w:pPr>
        <w:ind w:firstLine="1302" w:firstLineChars="407"/>
        <w:rPr>
          <w:rFonts w:ascii="黑体" w:hAnsi="黑体" w:eastAsia="黑体" w:cs="黑体"/>
          <w:sz w:val="32"/>
          <w:szCs w:val="32"/>
        </w:rPr>
      </w:pPr>
      <w:r>
        <w:rPr>
          <w:rFonts w:hint="eastAsia" w:ascii="黑体" w:hAnsi="黑体" w:eastAsia="黑体" w:cs="黑体"/>
          <w:sz w:val="32"/>
          <w:szCs w:val="32"/>
        </w:rPr>
        <w:t>（见正文附件）</w:t>
      </w:r>
      <w:bookmarkEnd w:id="50"/>
      <w:bookmarkEnd w:id="51"/>
      <w:r>
        <w:rPr>
          <w:rFonts w:hint="eastAsia" w:ascii="黑体" w:hAnsi="黑体" w:eastAsia="黑体" w:cs="黑体"/>
          <w:sz w:val="32"/>
          <w:szCs w:val="32"/>
        </w:rPr>
        <w:t>。</w:t>
      </w:r>
    </w:p>
    <w:p>
      <w:pPr>
        <w:ind w:firstLine="645"/>
        <w:rPr>
          <w:rFonts w:ascii="黑体" w:hAnsi="黑体" w:eastAsia="黑体" w:cs="黑体"/>
          <w:sz w:val="32"/>
          <w:szCs w:val="32"/>
        </w:rPr>
      </w:pPr>
      <w:bookmarkStart w:id="52" w:name="_Toc2632_WPSOffice_Level2"/>
      <w:bookmarkStart w:id="53" w:name="_Toc5343_WPSOffice_Level2"/>
      <w:bookmarkStart w:id="54" w:name="_Toc25362_WPSOffice_Level2"/>
      <w:bookmarkStart w:id="55" w:name="_Toc8373_WPSOffice_Level2"/>
      <w:bookmarkStart w:id="56" w:name="_Toc17833_WPSOffice_Level2"/>
      <w:bookmarkStart w:id="57" w:name="_Toc17283_WPSOffice_Level2"/>
      <w:r>
        <w:rPr>
          <w:rFonts w:hint="eastAsia" w:ascii="黑体" w:hAnsi="黑体" w:eastAsia="黑体" w:cs="黑体"/>
          <w:sz w:val="32"/>
          <w:szCs w:val="32"/>
        </w:rPr>
        <w:t>六、一般公共预算财政拨款基本支出决算</w:t>
      </w:r>
      <w:bookmarkEnd w:id="52"/>
      <w:bookmarkEnd w:id="53"/>
      <w:bookmarkEnd w:id="54"/>
      <w:bookmarkEnd w:id="55"/>
      <w:bookmarkEnd w:id="56"/>
      <w:bookmarkEnd w:id="57"/>
      <w:r>
        <w:rPr>
          <w:rFonts w:hint="eastAsia" w:ascii="黑体" w:hAnsi="黑体" w:eastAsia="黑体" w:cs="黑体"/>
          <w:sz w:val="32"/>
          <w:szCs w:val="32"/>
        </w:rPr>
        <w:t>公开表</w:t>
      </w:r>
    </w:p>
    <w:p>
      <w:pPr>
        <w:ind w:firstLine="1280" w:firstLineChars="40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bookmarkStart w:id="58" w:name="_Toc11799_WPSOffice_Level2"/>
      <w:bookmarkStart w:id="59" w:name="_Toc1533_WPSOffice_Level2"/>
      <w:bookmarkStart w:id="60" w:name="_Toc21310_WPSOffice_Level2"/>
      <w:bookmarkStart w:id="61" w:name="_Toc13345_WPSOffice_Level2"/>
      <w:bookmarkStart w:id="62" w:name="_Toc6020_WPSOffice_Level2"/>
      <w:bookmarkStart w:id="63" w:name="_Toc5594_WPSOffice_Level2"/>
      <w:r>
        <w:rPr>
          <w:rFonts w:hint="eastAsia" w:ascii="黑体" w:hAnsi="黑体" w:eastAsia="黑体" w:cs="黑体"/>
          <w:sz w:val="32"/>
          <w:szCs w:val="32"/>
        </w:rPr>
        <w:t>七、政府性基金预算财政拨款收入支出决算</w:t>
      </w:r>
      <w:bookmarkEnd w:id="58"/>
      <w:bookmarkEnd w:id="59"/>
      <w:bookmarkEnd w:id="60"/>
      <w:bookmarkEnd w:id="61"/>
      <w:bookmarkEnd w:id="62"/>
      <w:bookmarkEnd w:id="63"/>
      <w:r>
        <w:rPr>
          <w:rFonts w:hint="eastAsia" w:ascii="黑体" w:hAnsi="黑体" w:eastAsia="黑体" w:cs="黑体"/>
          <w:sz w:val="32"/>
          <w:szCs w:val="32"/>
        </w:rPr>
        <w:t>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64" w:name="_Toc19961_WPSOffice_Level2"/>
      <w:bookmarkStart w:id="65" w:name="_Toc29886_WPSOffice_Level2"/>
      <w:bookmarkStart w:id="66" w:name="_Toc1820_WPSOffice_Level2"/>
      <w:bookmarkStart w:id="67" w:name="_Toc9377_WPSOffice_Level2"/>
      <w:r>
        <w:rPr>
          <w:rFonts w:hint="eastAsia" w:ascii="黑体" w:hAnsi="黑体" w:eastAsia="黑体" w:cs="黑体"/>
          <w:sz w:val="32"/>
          <w:szCs w:val="32"/>
        </w:rPr>
        <w:t xml:space="preserve">    八、一般公共预算财政拨款“三公”经费支出决算</w:t>
      </w:r>
    </w:p>
    <w:bookmarkEnd w:id="64"/>
    <w:bookmarkEnd w:id="65"/>
    <w:bookmarkEnd w:id="66"/>
    <w:bookmarkEnd w:id="67"/>
    <w:p>
      <w:pPr>
        <w:rPr>
          <w:rFonts w:ascii="黑体" w:hAnsi="黑体" w:eastAsia="黑体" w:cs="黑体"/>
          <w:sz w:val="32"/>
          <w:szCs w:val="32"/>
        </w:rPr>
      </w:pPr>
      <w:r>
        <w:rPr>
          <w:rFonts w:hint="eastAsia" w:ascii="黑体" w:hAnsi="黑体" w:eastAsia="黑体" w:cs="黑体"/>
          <w:sz w:val="32"/>
          <w:szCs w:val="32"/>
        </w:rPr>
        <w:t>公开表（见正文附件）。</w:t>
      </w:r>
    </w:p>
    <w:p>
      <w:pPr>
        <w:rPr>
          <w:rFonts w:ascii="黑体" w:hAnsi="黑体" w:eastAsia="黑体" w:cs="黑体"/>
          <w:w w:val="96"/>
          <w:sz w:val="32"/>
          <w:szCs w:val="32"/>
        </w:rPr>
      </w:pPr>
      <w:r>
        <w:rPr>
          <w:rFonts w:hint="eastAsia" w:ascii="黑体" w:hAnsi="黑体" w:eastAsia="黑体" w:cs="黑体"/>
          <w:w w:val="96"/>
          <w:sz w:val="32"/>
          <w:szCs w:val="32"/>
        </w:rPr>
        <w:t xml:space="preserve">    九、政府性基金预算财政拨款“三公”经费支出决算</w:t>
      </w:r>
    </w:p>
    <w:p>
      <w:pPr>
        <w:rPr>
          <w:rFonts w:ascii="楷体" w:hAnsi="楷体" w:eastAsia="楷体" w:cs="楷体"/>
          <w:sz w:val="32"/>
          <w:szCs w:val="32"/>
        </w:rPr>
      </w:pPr>
      <w:r>
        <w:rPr>
          <w:rFonts w:hint="eastAsia" w:ascii="黑体" w:hAnsi="黑体" w:eastAsia="黑体" w:cs="黑体"/>
          <w:sz w:val="32"/>
          <w:szCs w:val="32"/>
        </w:rPr>
        <w:t>公开表（见正文附件）。</w:t>
      </w:r>
    </w:p>
    <w:p>
      <w:pPr>
        <w:jc w:val="center"/>
        <w:rPr>
          <w:rFonts w:ascii="黑体" w:hAnsi="ˎ̥" w:eastAsia="黑体"/>
          <w:sz w:val="32"/>
          <w:szCs w:val="32"/>
        </w:rPr>
      </w:pPr>
      <w:bookmarkStart w:id="68" w:name="_Toc31264_WPSOffice_Level1"/>
      <w:bookmarkStart w:id="69" w:name="_Toc28629_WPSOffice_Level1"/>
      <w:bookmarkStart w:id="70" w:name="_Toc16686_WPSOffice_Level1"/>
      <w:bookmarkStart w:id="71" w:name="_Toc27590_WPSOffice_Level1"/>
      <w:bookmarkStart w:id="72" w:name="_Toc4402_WPSOffice_Level1"/>
      <w:bookmarkStart w:id="73" w:name="_Toc29683_WPSOffice_Level1"/>
      <w:r>
        <w:rPr>
          <w:rFonts w:hint="eastAsia" w:ascii="黑体" w:hAnsi="ˎ̥" w:eastAsia="黑体"/>
          <w:sz w:val="32"/>
          <w:szCs w:val="32"/>
        </w:rPr>
        <w:t>第三部分 天涯区金鸡岭路大社区综合服务中心2021年度</w:t>
      </w:r>
      <w:r>
        <w:rPr>
          <w:rFonts w:hint="eastAsia" w:ascii="黑体" w:hAnsi="ˎ̥" w:eastAsia="黑体"/>
          <w:sz w:val="32"/>
          <w:szCs w:val="32"/>
          <w:lang w:eastAsia="zh-CN"/>
        </w:rPr>
        <w:t>单位</w:t>
      </w:r>
      <w:r>
        <w:rPr>
          <w:rFonts w:hint="eastAsia" w:ascii="黑体" w:hAnsi="ˎ̥" w:eastAsia="黑体"/>
          <w:sz w:val="32"/>
          <w:szCs w:val="32"/>
        </w:rPr>
        <w:t>决算情况说明</w:t>
      </w:r>
      <w:bookmarkEnd w:id="68"/>
      <w:bookmarkEnd w:id="69"/>
      <w:bookmarkEnd w:id="70"/>
      <w:bookmarkEnd w:id="71"/>
      <w:bookmarkEnd w:id="72"/>
      <w:bookmarkEnd w:id="73"/>
    </w:p>
    <w:p>
      <w:pPr>
        <w:ind w:firstLine="640" w:firstLineChars="200"/>
        <w:rPr>
          <w:rFonts w:ascii="仿宋_GB2312" w:hAnsi="ˎ̥" w:eastAsia="仿宋_GB2312"/>
          <w:sz w:val="32"/>
          <w:szCs w:val="32"/>
        </w:rPr>
      </w:pPr>
      <w:r>
        <w:rPr>
          <w:rFonts w:hint="eastAsia" w:ascii="黑体" w:hAnsi="黑体" w:eastAsia="黑体" w:cs="黑体"/>
          <w:bCs/>
          <w:sz w:val="32"/>
          <w:szCs w:val="32"/>
        </w:rPr>
        <w:t>一、收入支出决算总体情况说明</w:t>
      </w:r>
      <w:r>
        <w:rPr>
          <w:rFonts w:hint="eastAsia" w:ascii="黑体" w:hAnsi="黑体" w:eastAsia="黑体" w:cs="黑体"/>
          <w:bCs/>
          <w:sz w:val="32"/>
          <w:szCs w:val="32"/>
        </w:rPr>
        <w:br w:type="textWrapping"/>
      </w:r>
      <w:r>
        <w:rPr>
          <w:rFonts w:hint="eastAsia" w:ascii="仿宋_GB2312" w:hAnsi="ˎ̥" w:eastAsia="仿宋_GB2312"/>
          <w:sz w:val="32"/>
          <w:szCs w:val="32"/>
        </w:rPr>
        <w:t>天涯区</w:t>
      </w:r>
      <w:r>
        <w:rPr>
          <w:rFonts w:hint="eastAsia" w:ascii="仿宋_GB2312" w:hAnsi="黑体" w:eastAsia="仿宋_GB2312" w:cs="仿宋_GB2312"/>
          <w:sz w:val="32"/>
          <w:szCs w:val="32"/>
        </w:rPr>
        <w:t>金鸡岭路大社区综合服务中心</w:t>
      </w:r>
      <w:r>
        <w:rPr>
          <w:rFonts w:hint="eastAsia" w:ascii="仿宋_GB2312" w:hAnsi="ˎ̥" w:eastAsia="仿宋_GB2312"/>
          <w:sz w:val="32"/>
          <w:szCs w:val="32"/>
          <w:lang w:val="en-US" w:eastAsia="zh-CN"/>
        </w:rPr>
        <w:t>2022</w:t>
      </w:r>
      <w:r>
        <w:rPr>
          <w:rFonts w:hint="eastAsia" w:ascii="仿宋_GB2312" w:hAnsi="ˎ̥" w:eastAsia="仿宋_GB2312"/>
          <w:sz w:val="32"/>
          <w:szCs w:val="32"/>
        </w:rPr>
        <w:t>年度收</w:t>
      </w:r>
      <w:r>
        <w:rPr>
          <w:rFonts w:hint="eastAsia" w:ascii="仿宋_GB2312" w:hAnsi="ˎ̥" w:eastAsia="仿宋_GB2312"/>
          <w:sz w:val="32"/>
          <w:szCs w:val="32"/>
          <w:lang w:eastAsia="zh-CN"/>
        </w:rPr>
        <w:t>入总计</w:t>
      </w:r>
      <w:r>
        <w:rPr>
          <w:rFonts w:hint="eastAsia" w:ascii="仿宋_GB2312" w:hAnsi="ˎ̥" w:eastAsia="仿宋_GB2312"/>
          <w:sz w:val="32"/>
          <w:szCs w:val="32"/>
          <w:lang w:val="en-US" w:eastAsia="zh-CN"/>
        </w:rPr>
        <w:t>159.14万元，</w:t>
      </w:r>
      <w:r>
        <w:rPr>
          <w:rFonts w:hint="eastAsia" w:ascii="仿宋_GB2312" w:hAnsi="ˎ̥" w:eastAsia="仿宋_GB2312"/>
          <w:sz w:val="32"/>
          <w:szCs w:val="32"/>
        </w:rPr>
        <w:t>支</w:t>
      </w:r>
      <w:r>
        <w:rPr>
          <w:rFonts w:hint="eastAsia" w:ascii="仿宋_GB2312" w:hAnsi="ˎ̥" w:eastAsia="仿宋_GB2312"/>
          <w:sz w:val="32"/>
          <w:szCs w:val="32"/>
          <w:lang w:eastAsia="zh-CN"/>
        </w:rPr>
        <w:t>出</w:t>
      </w:r>
      <w:r>
        <w:rPr>
          <w:rFonts w:hint="eastAsia" w:ascii="仿宋_GB2312" w:hAnsi="ˎ̥" w:eastAsia="仿宋_GB2312"/>
          <w:sz w:val="32"/>
          <w:szCs w:val="32"/>
        </w:rPr>
        <w:t>总计</w:t>
      </w:r>
      <w:r>
        <w:rPr>
          <w:rFonts w:hint="eastAsia" w:ascii="仿宋_GB2312" w:hAnsi="ˎ̥" w:eastAsia="仿宋_GB2312"/>
          <w:sz w:val="32"/>
          <w:szCs w:val="32"/>
          <w:lang w:val="en-US" w:eastAsia="zh-CN"/>
        </w:rPr>
        <w:t>159.14</w:t>
      </w:r>
      <w:r>
        <w:rPr>
          <w:rFonts w:hint="eastAsia" w:ascii="仿宋_GB2312" w:hAnsi="ˎ̥" w:eastAsia="仿宋_GB2312"/>
          <w:sz w:val="32"/>
          <w:szCs w:val="32"/>
        </w:rPr>
        <w:t>万元，与202</w:t>
      </w:r>
      <w:r>
        <w:rPr>
          <w:rFonts w:hint="eastAsia" w:ascii="仿宋_GB2312" w:hAnsi="ˎ̥" w:eastAsia="仿宋_GB2312"/>
          <w:sz w:val="32"/>
          <w:szCs w:val="32"/>
          <w:lang w:val="en-US" w:eastAsia="zh-CN"/>
        </w:rPr>
        <w:t>1</w:t>
      </w:r>
      <w:r>
        <w:rPr>
          <w:rFonts w:hint="eastAsia" w:ascii="仿宋_GB2312" w:hAnsi="ˎ̥" w:eastAsia="仿宋_GB2312"/>
          <w:sz w:val="32"/>
          <w:szCs w:val="32"/>
        </w:rPr>
        <w:t>年度相比，收入、支出总计各</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16.50</w:t>
      </w:r>
      <w:r>
        <w:rPr>
          <w:rFonts w:hint="eastAsia" w:ascii="仿宋_GB2312" w:hAnsi="ˎ̥" w:eastAsia="仿宋_GB2312"/>
          <w:sz w:val="32"/>
          <w:szCs w:val="32"/>
        </w:rPr>
        <w:t>万元，</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10.36</w:t>
      </w:r>
      <w:r>
        <w:rPr>
          <w:rFonts w:hint="eastAsia" w:ascii="仿宋_GB2312" w:hAnsi="ˎ̥" w:eastAsia="仿宋_GB2312"/>
          <w:sz w:val="32"/>
          <w:szCs w:val="32"/>
        </w:rPr>
        <w:t>%。主要原因:</w:t>
      </w:r>
      <w:r>
        <w:rPr>
          <w:rFonts w:hint="eastAsia" w:ascii="仿宋_GB2312" w:hAnsi="黑体" w:eastAsia="仿宋_GB2312" w:cs="仿宋_GB2312"/>
          <w:sz w:val="32"/>
          <w:szCs w:val="32"/>
        </w:rPr>
        <w:t>金鸡岭路</w:t>
      </w:r>
      <w:r>
        <w:rPr>
          <w:rFonts w:hint="eastAsia" w:ascii="仿宋_GB2312" w:hAnsi="ˎ̥" w:eastAsia="仿宋_GB2312"/>
          <w:sz w:val="32"/>
          <w:szCs w:val="32"/>
        </w:rPr>
        <w:t>是</w:t>
      </w:r>
      <w:r>
        <w:rPr>
          <w:rFonts w:hint="eastAsia" w:ascii="仿宋_GB2312" w:hAnsi="ˎ̥" w:eastAsia="仿宋_GB2312"/>
          <w:sz w:val="32"/>
          <w:szCs w:val="32"/>
          <w:lang w:val="en-US" w:eastAsia="zh-CN"/>
        </w:rPr>
        <w:t>1.</w:t>
      </w: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w:t>
      </w:r>
      <w:r>
        <w:rPr>
          <w:rFonts w:hint="eastAsia" w:ascii="仿宋_GB2312" w:hAnsi="ˎ̥" w:eastAsia="仿宋_GB2312"/>
          <w:sz w:val="32"/>
          <w:szCs w:val="32"/>
          <w:lang w:eastAsia="zh-CN"/>
        </w:rPr>
        <w:t>成立已稳定</w:t>
      </w:r>
      <w:r>
        <w:rPr>
          <w:rFonts w:hint="eastAsia" w:ascii="仿宋_GB2312" w:hAnsi="ˎ̥" w:eastAsia="仿宋_GB2312"/>
          <w:sz w:val="32"/>
          <w:szCs w:val="32"/>
        </w:rPr>
        <w:t>，</w:t>
      </w:r>
      <w:r>
        <w:rPr>
          <w:rFonts w:hint="eastAsia" w:ascii="仿宋_GB2312" w:hAnsi="ˎ̥" w:eastAsia="仿宋_GB2312"/>
          <w:sz w:val="32"/>
          <w:szCs w:val="32"/>
          <w:lang w:eastAsia="zh-CN"/>
        </w:rPr>
        <w:t>节省不必开支</w:t>
      </w:r>
      <w:r>
        <w:rPr>
          <w:rFonts w:hint="eastAsia" w:ascii="仿宋_GB2312" w:hAnsi="ˎ̥" w:eastAsia="仿宋_GB2312"/>
          <w:sz w:val="32"/>
          <w:szCs w:val="32"/>
          <w:lang w:val="en-US" w:eastAsia="zh-CN"/>
        </w:rPr>
        <w:t>2.是 2022年度预算不足，2022年度有资金缺口。</w:t>
      </w:r>
      <w:r>
        <w:rPr>
          <w:rFonts w:hint="eastAsia" w:ascii="仿宋_GB2312" w:hAnsi="ˎ̥" w:eastAsia="仿宋_GB2312"/>
          <w:sz w:val="32"/>
          <w:szCs w:val="32"/>
        </w:rPr>
        <w:t>年初结转结余0元。年末结转结余0元。</w:t>
      </w:r>
    </w:p>
    <w:p>
      <w:pPr>
        <w:ind w:firstLine="640" w:firstLineChars="200"/>
        <w:rPr>
          <w:rFonts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本年收入合计</w:t>
      </w:r>
      <w:r>
        <w:rPr>
          <w:rFonts w:hint="eastAsia" w:ascii="仿宋_GB2312" w:hAnsi="ˎ̥" w:eastAsia="仿宋_GB2312"/>
          <w:sz w:val="32"/>
          <w:szCs w:val="32"/>
          <w:lang w:val="en-US" w:eastAsia="zh-CN"/>
        </w:rPr>
        <w:t>159.14</w:t>
      </w:r>
      <w:r>
        <w:rPr>
          <w:rFonts w:hint="eastAsia" w:ascii="仿宋_GB2312" w:hAnsi="ˎ̥" w:eastAsia="仿宋_GB2312"/>
          <w:sz w:val="32"/>
          <w:szCs w:val="32"/>
        </w:rPr>
        <w:t>万元，其中：财政拨款收入</w:t>
      </w:r>
      <w:r>
        <w:rPr>
          <w:rFonts w:hint="eastAsia" w:ascii="仿宋_GB2312" w:hAnsi="ˎ̥" w:eastAsia="仿宋_GB2312"/>
          <w:sz w:val="32"/>
          <w:szCs w:val="32"/>
          <w:lang w:val="en-US" w:eastAsia="zh-CN"/>
        </w:rPr>
        <w:t>159.14</w:t>
      </w:r>
      <w:r>
        <w:rPr>
          <w:rFonts w:hint="eastAsia" w:ascii="仿宋_GB2312" w:hAnsi="ˎ̥" w:eastAsia="仿宋_GB2312"/>
          <w:sz w:val="32"/>
          <w:szCs w:val="32"/>
        </w:rPr>
        <w:t>元元，占100%；其他收入0万元。</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本年支出合计</w:t>
      </w:r>
      <w:r>
        <w:rPr>
          <w:rFonts w:hint="eastAsia" w:ascii="仿宋_GB2312" w:hAnsi="ˎ̥" w:eastAsia="仿宋_GB2312"/>
          <w:sz w:val="32"/>
          <w:szCs w:val="32"/>
          <w:lang w:val="en-US" w:eastAsia="zh-CN"/>
        </w:rPr>
        <w:t>159.14</w:t>
      </w:r>
      <w:r>
        <w:rPr>
          <w:rFonts w:hint="eastAsia" w:ascii="仿宋_GB2312" w:hAnsi="ˎ̥" w:eastAsia="仿宋_GB2312"/>
          <w:sz w:val="32"/>
          <w:szCs w:val="32"/>
        </w:rPr>
        <w:t>万元，其中：基本支出</w:t>
      </w:r>
      <w:r>
        <w:rPr>
          <w:rFonts w:hint="eastAsia" w:ascii="仿宋_GB2312" w:hAnsi="仿宋_GB2312" w:eastAsia="仿宋_GB2312" w:cs="仿宋_GB2312"/>
          <w:color w:val="0D0D0D"/>
          <w:sz w:val="32"/>
          <w:szCs w:val="32"/>
        </w:rPr>
        <w:t>0</w:t>
      </w:r>
      <w:r>
        <w:rPr>
          <w:rFonts w:hint="eastAsia" w:ascii="仿宋_GB2312" w:hAnsi="ˎ̥" w:eastAsia="仿宋_GB2312"/>
          <w:sz w:val="32"/>
          <w:szCs w:val="32"/>
        </w:rPr>
        <w:t>万元，占0%；</w:t>
      </w:r>
      <w:r>
        <w:rPr>
          <w:rFonts w:hint="eastAsia" w:ascii="仿宋_GB2312" w:hAnsi="ˎ̥" w:eastAsia="仿宋_GB2312"/>
          <w:sz w:val="32"/>
          <w:szCs w:val="32"/>
          <w:lang w:val="en-US" w:eastAsia="zh-CN"/>
        </w:rPr>
        <w:t>159.14</w:t>
      </w:r>
      <w:r>
        <w:rPr>
          <w:rFonts w:hint="eastAsia" w:ascii="仿宋_GB2312" w:hAnsi="ˎ̥" w:eastAsia="仿宋_GB2312"/>
          <w:sz w:val="32"/>
          <w:szCs w:val="32"/>
        </w:rPr>
        <w:t>万元，占100%；无上缴上级支出；无经营支出；无对附属单位补助支出。</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ascii="仿宋_GB2312" w:hAnsi="ˎ̥" w:eastAsia="仿宋_GB2312"/>
          <w:color w:val="FF0000"/>
          <w:sz w:val="32"/>
          <w:szCs w:val="32"/>
        </w:rPr>
      </w:pPr>
      <w:r>
        <w:rPr>
          <w:rFonts w:hint="eastAsia" w:ascii="仿宋_GB2312" w:hAnsi="ˎ̥" w:eastAsia="仿宋_GB2312"/>
          <w:color w:val="000000" w:themeColor="text1"/>
          <w:sz w:val="32"/>
          <w:szCs w:val="32"/>
        </w:rPr>
        <w:t>202</w:t>
      </w:r>
      <w:r>
        <w:rPr>
          <w:rFonts w:hint="eastAsia" w:ascii="仿宋_GB2312" w:hAnsi="ˎ̥" w:eastAsia="仿宋_GB2312"/>
          <w:color w:val="000000" w:themeColor="text1"/>
          <w:sz w:val="32"/>
          <w:szCs w:val="32"/>
          <w:lang w:val="en-US" w:eastAsia="zh-CN"/>
        </w:rPr>
        <w:t>2</w:t>
      </w:r>
      <w:r>
        <w:rPr>
          <w:rFonts w:hint="eastAsia" w:ascii="仿宋_GB2312" w:hAnsi="ˎ̥" w:eastAsia="仿宋_GB2312"/>
          <w:color w:val="000000" w:themeColor="text1"/>
          <w:sz w:val="32"/>
          <w:szCs w:val="32"/>
        </w:rPr>
        <w:t>年度财政拨款收入、支出总计</w:t>
      </w:r>
      <w:r>
        <w:rPr>
          <w:rFonts w:hint="eastAsia" w:ascii="仿宋_GB2312" w:hAnsi="ˎ̥" w:eastAsia="仿宋_GB2312"/>
          <w:sz w:val="32"/>
          <w:szCs w:val="32"/>
          <w:lang w:val="en-US" w:eastAsia="zh-CN"/>
        </w:rPr>
        <w:t>159.14</w:t>
      </w:r>
      <w:r>
        <w:rPr>
          <w:rFonts w:hint="eastAsia" w:ascii="仿宋_GB2312" w:hAnsi="ˎ̥" w:eastAsia="仿宋_GB2312"/>
          <w:sz w:val="32"/>
          <w:szCs w:val="32"/>
        </w:rPr>
        <w:t>万元</w:t>
      </w:r>
      <w:r>
        <w:rPr>
          <w:rFonts w:hint="eastAsia" w:ascii="仿宋_GB2312" w:hAnsi="ˎ̥" w:eastAsia="仿宋_GB2312"/>
          <w:color w:val="000000" w:themeColor="text1"/>
          <w:sz w:val="32"/>
          <w:szCs w:val="32"/>
        </w:rPr>
        <w:t>。与202</w:t>
      </w:r>
      <w:r>
        <w:rPr>
          <w:rFonts w:hint="eastAsia" w:ascii="仿宋_GB2312" w:hAnsi="ˎ̥" w:eastAsia="仿宋_GB2312"/>
          <w:color w:val="000000" w:themeColor="text1"/>
          <w:sz w:val="32"/>
          <w:szCs w:val="32"/>
          <w:lang w:val="en-US" w:eastAsia="zh-CN"/>
        </w:rPr>
        <w:t>1</w:t>
      </w:r>
      <w:r>
        <w:rPr>
          <w:rFonts w:hint="eastAsia" w:ascii="仿宋_GB2312" w:hAnsi="ˎ̥" w:eastAsia="仿宋_GB2312"/>
          <w:color w:val="000000" w:themeColor="text1"/>
          <w:sz w:val="32"/>
          <w:szCs w:val="32"/>
        </w:rPr>
        <w:t>年度相比，财政拨款收入、支出</w:t>
      </w:r>
      <w:r>
        <w:rPr>
          <w:rFonts w:hint="eastAsia" w:ascii="仿宋_GB2312" w:hAnsi="ˎ̥" w:eastAsia="仿宋_GB2312"/>
          <w:sz w:val="32"/>
          <w:szCs w:val="32"/>
        </w:rPr>
        <w:t>总计</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16.50</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10.36</w:t>
      </w:r>
      <w:r>
        <w:rPr>
          <w:rFonts w:hint="eastAsia" w:ascii="仿宋_GB2312" w:hAnsi="ˎ̥" w:eastAsia="仿宋_GB2312"/>
          <w:sz w:val="32"/>
          <w:szCs w:val="32"/>
        </w:rPr>
        <w:t>%。</w:t>
      </w:r>
      <w:r>
        <w:rPr>
          <w:rFonts w:hint="eastAsia" w:ascii="仿宋_GB2312" w:hAnsi="ˎ̥" w:eastAsia="仿宋_GB2312"/>
          <w:color w:val="000000" w:themeColor="text1"/>
          <w:sz w:val="32"/>
          <w:szCs w:val="32"/>
        </w:rPr>
        <w:t>主要原因:</w:t>
      </w:r>
      <w:r>
        <w:rPr>
          <w:rFonts w:hint="eastAsia" w:ascii="仿宋_GB2312" w:hAnsi="黑体" w:eastAsia="仿宋_GB2312" w:cs="仿宋_GB2312"/>
          <w:sz w:val="32"/>
          <w:szCs w:val="32"/>
        </w:rPr>
        <w:t>金鸡岭路</w:t>
      </w:r>
      <w:r>
        <w:rPr>
          <w:rFonts w:hint="eastAsia" w:ascii="仿宋_GB2312" w:hAnsi="ˎ̥" w:eastAsia="仿宋_GB2312"/>
          <w:sz w:val="32"/>
          <w:szCs w:val="32"/>
        </w:rPr>
        <w:t>是</w:t>
      </w:r>
      <w:r>
        <w:rPr>
          <w:rFonts w:hint="eastAsia" w:ascii="仿宋_GB2312" w:hAnsi="ˎ̥" w:eastAsia="仿宋_GB2312"/>
          <w:sz w:val="32"/>
          <w:szCs w:val="32"/>
          <w:lang w:val="en-US" w:eastAsia="zh-CN"/>
        </w:rPr>
        <w:t>1.</w:t>
      </w: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w:t>
      </w:r>
      <w:r>
        <w:rPr>
          <w:rFonts w:hint="eastAsia" w:ascii="仿宋_GB2312" w:hAnsi="ˎ̥" w:eastAsia="仿宋_GB2312"/>
          <w:sz w:val="32"/>
          <w:szCs w:val="32"/>
          <w:lang w:eastAsia="zh-CN"/>
        </w:rPr>
        <w:t>成立已稳定</w:t>
      </w:r>
      <w:r>
        <w:rPr>
          <w:rFonts w:hint="eastAsia" w:ascii="仿宋_GB2312" w:hAnsi="ˎ̥" w:eastAsia="仿宋_GB2312"/>
          <w:sz w:val="32"/>
          <w:szCs w:val="32"/>
        </w:rPr>
        <w:t>，</w:t>
      </w:r>
      <w:r>
        <w:rPr>
          <w:rFonts w:hint="eastAsia" w:ascii="仿宋_GB2312" w:hAnsi="ˎ̥" w:eastAsia="仿宋_GB2312"/>
          <w:sz w:val="32"/>
          <w:szCs w:val="32"/>
          <w:lang w:eastAsia="zh-CN"/>
        </w:rPr>
        <w:t>节省不必开支</w:t>
      </w:r>
      <w:r>
        <w:rPr>
          <w:rFonts w:hint="eastAsia" w:ascii="仿宋_GB2312" w:hAnsi="ˎ̥" w:eastAsia="仿宋_GB2312"/>
          <w:sz w:val="32"/>
          <w:szCs w:val="32"/>
          <w:lang w:val="en-US" w:eastAsia="zh-CN"/>
        </w:rPr>
        <w:t>2.是 2022年度预算不足，2022年度有资金缺口。</w:t>
      </w:r>
      <w:r>
        <w:rPr>
          <w:rFonts w:hint="eastAsia" w:ascii="仿宋_GB2312" w:hAnsi="ˎ̥" w:eastAsia="仿宋_GB2312"/>
          <w:color w:val="000000" w:themeColor="text1"/>
          <w:sz w:val="32"/>
          <w:szCs w:val="32"/>
        </w:rPr>
        <w:t>财政拨款年初结转结余0万元。财政拨款年末结转结余0万元。</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74" w:name="_Toc17398_WPSOffice_Level2"/>
      <w:bookmarkStart w:id="75" w:name="_Toc13694_WPSOffice_Level2"/>
      <w:bookmarkStart w:id="76" w:name="_Toc19665_WPSOffice_Level2"/>
      <w:bookmarkStart w:id="77" w:name="_Toc23005_WPSOffice_Level2"/>
      <w:bookmarkStart w:id="78" w:name="_Toc21737_WPSOffice_Level2"/>
      <w:bookmarkStart w:id="79" w:name="_Toc9989_WPSOffice_Level2"/>
      <w:r>
        <w:rPr>
          <w:rFonts w:hint="eastAsia" w:ascii="楷体" w:hAnsi="楷体" w:eastAsia="楷体" w:cs="楷体"/>
          <w:sz w:val="32"/>
          <w:szCs w:val="32"/>
        </w:rPr>
        <w:t>（一）一般公共预算财政拨款支出决算总体情况</w:t>
      </w:r>
      <w:bookmarkEnd w:id="74"/>
      <w:bookmarkEnd w:id="75"/>
      <w:r>
        <w:rPr>
          <w:rFonts w:hint="eastAsia" w:ascii="楷体" w:hAnsi="楷体" w:eastAsia="楷体" w:cs="楷体"/>
          <w:sz w:val="32"/>
          <w:szCs w:val="32"/>
        </w:rPr>
        <w:t>。</w:t>
      </w:r>
      <w:bookmarkEnd w:id="76"/>
      <w:bookmarkEnd w:id="77"/>
      <w:bookmarkEnd w:id="78"/>
      <w:bookmarkEnd w:id="79"/>
    </w:p>
    <w:p>
      <w:pPr>
        <w:ind w:firstLine="640" w:firstLineChars="200"/>
        <w:rPr>
          <w:rFonts w:ascii="仿宋_GB2312" w:hAnsi="ˎ̥" w:eastAsia="仿宋_GB2312"/>
          <w:sz w:val="32"/>
          <w:szCs w:val="32"/>
        </w:rPr>
      </w:pPr>
      <w:r>
        <w:rPr>
          <w:rFonts w:hint="eastAsia" w:ascii="仿宋_GB2312" w:hAnsi="ˎ̥" w:eastAsia="仿宋_GB2312"/>
          <w:color w:val="000000" w:themeColor="text1"/>
          <w:sz w:val="32"/>
          <w:szCs w:val="32"/>
        </w:rPr>
        <w:t>202</w:t>
      </w:r>
      <w:r>
        <w:rPr>
          <w:rFonts w:hint="eastAsia" w:ascii="仿宋_GB2312" w:hAnsi="ˎ̥" w:eastAsia="仿宋_GB2312"/>
          <w:color w:val="000000" w:themeColor="text1"/>
          <w:sz w:val="32"/>
          <w:szCs w:val="32"/>
          <w:lang w:val="en-US" w:eastAsia="zh-CN"/>
        </w:rPr>
        <w:t>2</w:t>
      </w:r>
      <w:r>
        <w:rPr>
          <w:rFonts w:hint="eastAsia" w:ascii="仿宋_GB2312" w:hAnsi="ˎ̥" w:eastAsia="仿宋_GB2312"/>
          <w:color w:val="000000" w:themeColor="text1"/>
          <w:sz w:val="32"/>
          <w:szCs w:val="32"/>
        </w:rPr>
        <w:t>年度一般公共预算财政拨款支出</w:t>
      </w:r>
      <w:r>
        <w:rPr>
          <w:rFonts w:hint="eastAsia" w:ascii="仿宋_GB2312" w:hAnsi="ˎ̥" w:eastAsia="仿宋_GB2312"/>
          <w:sz w:val="32"/>
          <w:szCs w:val="32"/>
          <w:lang w:val="en-US" w:eastAsia="zh-CN"/>
        </w:rPr>
        <w:t>159.14</w:t>
      </w:r>
      <w:r>
        <w:rPr>
          <w:rFonts w:hint="eastAsia" w:ascii="仿宋_GB2312" w:hAnsi="ˎ̥" w:eastAsia="仿宋_GB2312"/>
          <w:sz w:val="32"/>
          <w:szCs w:val="32"/>
        </w:rPr>
        <w:t>元</w:t>
      </w:r>
      <w:r>
        <w:rPr>
          <w:rFonts w:hint="eastAsia" w:ascii="仿宋_GB2312" w:hAnsi="ˎ̥" w:eastAsia="仿宋_GB2312"/>
          <w:color w:val="000000" w:themeColor="text1"/>
          <w:sz w:val="32"/>
          <w:szCs w:val="32"/>
        </w:rPr>
        <w:t>，占本年支出合计的100%。与202</w:t>
      </w:r>
      <w:r>
        <w:rPr>
          <w:rFonts w:hint="eastAsia" w:ascii="仿宋_GB2312" w:hAnsi="ˎ̥" w:eastAsia="仿宋_GB2312"/>
          <w:color w:val="000000" w:themeColor="text1"/>
          <w:sz w:val="32"/>
          <w:szCs w:val="32"/>
          <w:lang w:val="en-US" w:eastAsia="zh-CN"/>
        </w:rPr>
        <w:t>1</w:t>
      </w:r>
      <w:r>
        <w:rPr>
          <w:rFonts w:hint="eastAsia" w:ascii="仿宋_GB2312" w:hAnsi="ˎ̥" w:eastAsia="仿宋_GB2312"/>
          <w:color w:val="000000" w:themeColor="text1"/>
          <w:sz w:val="32"/>
          <w:szCs w:val="32"/>
        </w:rPr>
        <w:t>年度相比，财政拨款支出</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16.50</w:t>
      </w:r>
      <w:r>
        <w:rPr>
          <w:rFonts w:hint="eastAsia" w:ascii="仿宋_GB2312" w:hAnsi="ˎ̥" w:eastAsia="仿宋_GB2312"/>
          <w:sz w:val="32"/>
          <w:szCs w:val="32"/>
        </w:rPr>
        <w:t>元，</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10.36</w:t>
      </w:r>
      <w:r>
        <w:rPr>
          <w:rFonts w:hint="eastAsia" w:ascii="仿宋_GB2312" w:hAnsi="ˎ̥" w:eastAsia="仿宋_GB2312"/>
          <w:sz w:val="32"/>
          <w:szCs w:val="32"/>
        </w:rPr>
        <w:t>%。主要原因:</w:t>
      </w:r>
      <w:r>
        <w:rPr>
          <w:rFonts w:hint="eastAsia" w:ascii="仿宋_GB2312" w:hAnsi="黑体" w:eastAsia="仿宋_GB2312" w:cs="仿宋_GB2312"/>
          <w:sz w:val="32"/>
          <w:szCs w:val="32"/>
        </w:rPr>
        <w:t>金鸡岭路</w:t>
      </w:r>
      <w:r>
        <w:rPr>
          <w:rFonts w:hint="eastAsia" w:ascii="仿宋_GB2312" w:hAnsi="ˎ̥" w:eastAsia="仿宋_GB2312"/>
          <w:sz w:val="32"/>
          <w:szCs w:val="32"/>
        </w:rPr>
        <w:t>是</w:t>
      </w:r>
      <w:r>
        <w:rPr>
          <w:rFonts w:hint="eastAsia" w:ascii="仿宋_GB2312" w:hAnsi="ˎ̥" w:eastAsia="仿宋_GB2312"/>
          <w:sz w:val="32"/>
          <w:szCs w:val="32"/>
          <w:lang w:val="en-US" w:eastAsia="zh-CN"/>
        </w:rPr>
        <w:t>1.</w:t>
      </w: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w:t>
      </w:r>
      <w:r>
        <w:rPr>
          <w:rFonts w:hint="eastAsia" w:ascii="仿宋_GB2312" w:hAnsi="ˎ̥" w:eastAsia="仿宋_GB2312"/>
          <w:sz w:val="32"/>
          <w:szCs w:val="32"/>
          <w:lang w:eastAsia="zh-CN"/>
        </w:rPr>
        <w:t>成立已稳定</w:t>
      </w:r>
      <w:r>
        <w:rPr>
          <w:rFonts w:hint="eastAsia" w:ascii="仿宋_GB2312" w:hAnsi="ˎ̥" w:eastAsia="仿宋_GB2312"/>
          <w:sz w:val="32"/>
          <w:szCs w:val="32"/>
        </w:rPr>
        <w:t>，</w:t>
      </w:r>
      <w:r>
        <w:rPr>
          <w:rFonts w:hint="eastAsia" w:ascii="仿宋_GB2312" w:hAnsi="ˎ̥" w:eastAsia="仿宋_GB2312"/>
          <w:sz w:val="32"/>
          <w:szCs w:val="32"/>
          <w:lang w:eastAsia="zh-CN"/>
        </w:rPr>
        <w:t>节省不必开支</w:t>
      </w:r>
      <w:r>
        <w:rPr>
          <w:rFonts w:hint="eastAsia" w:ascii="仿宋_GB2312" w:hAnsi="ˎ̥" w:eastAsia="仿宋_GB2312"/>
          <w:sz w:val="32"/>
          <w:szCs w:val="32"/>
          <w:lang w:val="en-US" w:eastAsia="zh-CN"/>
        </w:rPr>
        <w:t>2.是 2022年度预算不足，2022年度有资金缺口。</w:t>
      </w:r>
      <w:r>
        <w:rPr>
          <w:rFonts w:hint="eastAsia" w:ascii="仿宋_GB2312" w:hAnsi="ˎ̥" w:eastAsia="仿宋_GB2312"/>
          <w:sz w:val="32"/>
          <w:szCs w:val="32"/>
        </w:rPr>
        <w:t>年初结转结余0元。年末结转结余0元。</w:t>
      </w:r>
    </w:p>
    <w:p>
      <w:pPr>
        <w:ind w:firstLine="640" w:firstLineChars="200"/>
        <w:rPr>
          <w:rFonts w:ascii="楷体" w:hAnsi="楷体" w:eastAsia="楷体" w:cs="楷体"/>
          <w:sz w:val="32"/>
          <w:szCs w:val="32"/>
        </w:rPr>
      </w:pPr>
      <w:bookmarkStart w:id="80" w:name="_Toc2711_WPSOffice_Level2"/>
      <w:bookmarkStart w:id="81" w:name="_Toc18793_WPSOffice_Level2"/>
      <w:bookmarkStart w:id="82" w:name="_Toc27767_WPSOffice_Level2"/>
      <w:bookmarkStart w:id="83" w:name="_Toc19075_WPSOffice_Level2"/>
      <w:bookmarkStart w:id="84" w:name="_Toc19535_WPSOffice_Level2"/>
      <w:bookmarkStart w:id="85" w:name="_Toc23864_WPSOffice_Level2"/>
      <w:r>
        <w:rPr>
          <w:rFonts w:hint="eastAsia" w:ascii="楷体" w:hAnsi="楷体" w:eastAsia="楷体" w:cs="楷体"/>
          <w:sz w:val="32"/>
          <w:szCs w:val="32"/>
        </w:rPr>
        <w:t>（二）一般公共预算财政拨款支出决算结构情况</w:t>
      </w:r>
      <w:bookmarkEnd w:id="80"/>
      <w:bookmarkEnd w:id="81"/>
      <w:r>
        <w:rPr>
          <w:rFonts w:hint="eastAsia" w:ascii="楷体" w:hAnsi="楷体" w:eastAsia="楷体" w:cs="楷体"/>
          <w:sz w:val="32"/>
          <w:szCs w:val="32"/>
        </w:rPr>
        <w:t>。</w:t>
      </w:r>
      <w:bookmarkEnd w:id="82"/>
      <w:bookmarkEnd w:id="83"/>
      <w:bookmarkEnd w:id="84"/>
      <w:bookmarkEnd w:id="85"/>
    </w:p>
    <w:p>
      <w:pPr>
        <w:ind w:firstLine="640" w:firstLineChars="200"/>
        <w:rPr>
          <w:rFonts w:ascii="仿宋_GB2312" w:hAnsi="ˎ̥" w:eastAsia="仿宋_GB2312"/>
          <w:color w:val="FF0000"/>
          <w:sz w:val="32"/>
          <w:szCs w:val="32"/>
        </w:rPr>
      </w:pPr>
      <w:r>
        <w:rPr>
          <w:rFonts w:hint="eastAsia" w:ascii="仿宋_GB2312" w:hAnsi="ˎ̥" w:eastAsia="仿宋_GB2312"/>
          <w:color w:val="000000" w:themeColor="text1"/>
          <w:sz w:val="32"/>
          <w:szCs w:val="32"/>
        </w:rPr>
        <w:t>2021年度一般公共预算财政拨款支出</w:t>
      </w:r>
      <w:r>
        <w:rPr>
          <w:rFonts w:hint="eastAsia" w:ascii="仿宋_GB2312" w:hAnsi="ˎ̥" w:eastAsia="仿宋_GB2312"/>
          <w:sz w:val="32"/>
          <w:szCs w:val="32"/>
          <w:lang w:val="en-US" w:eastAsia="zh-CN"/>
        </w:rPr>
        <w:t>159.14</w:t>
      </w:r>
      <w:r>
        <w:rPr>
          <w:rFonts w:hint="eastAsia" w:ascii="仿宋_GB2312" w:hAnsi="ˎ̥" w:eastAsia="仿宋_GB2312"/>
          <w:sz w:val="32"/>
          <w:szCs w:val="32"/>
        </w:rPr>
        <w:t>万元</w:t>
      </w:r>
      <w:r>
        <w:rPr>
          <w:rFonts w:hint="eastAsia" w:ascii="仿宋_GB2312" w:hAnsi="ˎ̥" w:eastAsia="仿宋_GB2312"/>
          <w:color w:val="000000" w:themeColor="text1"/>
          <w:sz w:val="32"/>
          <w:szCs w:val="32"/>
        </w:rPr>
        <w:t>，主要用于以下方面：</w:t>
      </w:r>
      <w:r>
        <w:rPr>
          <w:rFonts w:hint="eastAsia" w:ascii="仿宋_GB2312" w:hAnsi="ˎ̥" w:eastAsia="仿宋_GB2312"/>
          <w:bCs/>
          <w:color w:val="000000" w:themeColor="text1"/>
          <w:sz w:val="32"/>
          <w:szCs w:val="32"/>
        </w:rPr>
        <w:t>一般公共服务支出</w:t>
      </w:r>
      <w:r>
        <w:rPr>
          <w:rFonts w:hint="eastAsia" w:ascii="仿宋_GB2312" w:hAnsi="ˎ̥" w:eastAsia="仿宋_GB2312"/>
          <w:sz w:val="32"/>
          <w:szCs w:val="32"/>
          <w:lang w:val="en-US" w:eastAsia="zh-CN"/>
        </w:rPr>
        <w:t>159.14</w:t>
      </w:r>
      <w:r>
        <w:rPr>
          <w:rFonts w:hint="eastAsia" w:ascii="仿宋_GB2312" w:hAnsi="ˎ̥" w:eastAsia="仿宋_GB2312"/>
          <w:sz w:val="32"/>
          <w:szCs w:val="32"/>
        </w:rPr>
        <w:t>万元</w:t>
      </w:r>
      <w:r>
        <w:rPr>
          <w:rFonts w:hint="eastAsia" w:ascii="仿宋_GB2312" w:hAnsi="ˎ̥" w:eastAsia="仿宋_GB2312"/>
          <w:color w:val="000000" w:themeColor="text1"/>
          <w:sz w:val="32"/>
          <w:szCs w:val="32"/>
        </w:rPr>
        <w:t>，占100%</w:t>
      </w:r>
      <w:bookmarkStart w:id="86" w:name="_Toc22318_WPSOffice_Level2"/>
      <w:bookmarkStart w:id="87" w:name="_Toc29364_WPSOffice_Level2"/>
      <w:bookmarkStart w:id="88" w:name="_Toc9502_WPSOffice_Level2"/>
      <w:bookmarkStart w:id="89" w:name="_Toc15415_WPSOffice_Level2"/>
      <w:bookmarkStart w:id="90" w:name="_Toc21701_WPSOffice_Level2"/>
      <w:bookmarkStart w:id="91" w:name="_Toc25136_WPSOffice_Level2"/>
      <w:r>
        <w:rPr>
          <w:rFonts w:hint="eastAsia" w:ascii="仿宋_GB2312" w:hAnsi="ˎ̥" w:eastAsia="仿宋_GB2312"/>
          <w:color w:val="000000" w:themeColor="text1"/>
          <w:sz w:val="32"/>
          <w:szCs w:val="32"/>
        </w:rPr>
        <w:t>。</w:t>
      </w:r>
    </w:p>
    <w:p>
      <w:pPr>
        <w:ind w:firstLine="640" w:firstLineChars="200"/>
        <w:rPr>
          <w:rFonts w:ascii="楷体" w:hAnsi="楷体" w:eastAsia="楷体" w:cs="楷体"/>
          <w:sz w:val="32"/>
          <w:szCs w:val="32"/>
        </w:rPr>
      </w:pPr>
      <w:r>
        <w:rPr>
          <w:rFonts w:hint="eastAsia" w:ascii="楷体" w:hAnsi="楷体" w:eastAsia="楷体" w:cs="楷体"/>
          <w:sz w:val="32"/>
          <w:szCs w:val="32"/>
        </w:rPr>
        <w:t>（三）一般公共预算财政拨款支出决算具体情况。</w:t>
      </w:r>
      <w:bookmarkEnd w:id="86"/>
      <w:bookmarkEnd w:id="87"/>
      <w:bookmarkEnd w:id="88"/>
      <w:bookmarkEnd w:id="89"/>
      <w:bookmarkEnd w:id="90"/>
      <w:bookmarkEnd w:id="91"/>
    </w:p>
    <w:p>
      <w:pPr>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202</w:t>
      </w:r>
      <w:r>
        <w:rPr>
          <w:rFonts w:hint="eastAsia" w:ascii="仿宋_GB2312" w:hAnsi="ˎ̥" w:eastAsia="仿宋_GB2312"/>
          <w:color w:val="000000" w:themeColor="text1"/>
          <w:sz w:val="32"/>
          <w:szCs w:val="32"/>
          <w:lang w:val="en-US" w:eastAsia="zh-CN"/>
        </w:rPr>
        <w:t>2</w:t>
      </w:r>
      <w:r>
        <w:rPr>
          <w:rFonts w:hint="eastAsia" w:ascii="仿宋_GB2312" w:hAnsi="ˎ̥" w:eastAsia="仿宋_GB2312"/>
          <w:color w:val="000000" w:themeColor="text1"/>
          <w:sz w:val="32"/>
          <w:szCs w:val="32"/>
        </w:rPr>
        <w:t>年度财政拨款支出年初预算为</w:t>
      </w:r>
      <w:r>
        <w:rPr>
          <w:rFonts w:hint="eastAsia" w:ascii="仿宋_GB2312" w:hAnsi="ˎ̥" w:eastAsia="仿宋_GB2312"/>
          <w:sz w:val="32"/>
          <w:szCs w:val="32"/>
          <w:lang w:val="en-US" w:eastAsia="zh-CN"/>
        </w:rPr>
        <w:t>159.14</w:t>
      </w:r>
      <w:r>
        <w:rPr>
          <w:rFonts w:hint="eastAsia" w:ascii="仿宋_GB2312" w:hAnsi="ˎ̥" w:eastAsia="仿宋_GB2312"/>
          <w:sz w:val="32"/>
          <w:szCs w:val="32"/>
        </w:rPr>
        <w:t>万元</w:t>
      </w:r>
      <w:r>
        <w:rPr>
          <w:rFonts w:hint="eastAsia" w:ascii="仿宋_GB2312" w:hAnsi="ˎ̥" w:eastAsia="仿宋_GB2312"/>
          <w:color w:val="000000" w:themeColor="text1"/>
          <w:sz w:val="32"/>
          <w:szCs w:val="32"/>
        </w:rPr>
        <w:t>，支出决算为</w:t>
      </w:r>
      <w:r>
        <w:rPr>
          <w:rFonts w:hint="eastAsia" w:ascii="仿宋_GB2312" w:hAnsi="ˎ̥" w:eastAsia="仿宋_GB2312"/>
          <w:sz w:val="32"/>
          <w:szCs w:val="32"/>
          <w:lang w:val="en-US" w:eastAsia="zh-CN"/>
        </w:rPr>
        <w:t>159.14</w:t>
      </w:r>
      <w:r>
        <w:rPr>
          <w:rFonts w:hint="eastAsia" w:ascii="仿宋_GB2312" w:hAnsi="ˎ̥" w:eastAsia="仿宋_GB2312"/>
          <w:sz w:val="32"/>
          <w:szCs w:val="32"/>
        </w:rPr>
        <w:t>万元</w:t>
      </w:r>
      <w:r>
        <w:rPr>
          <w:rFonts w:hint="eastAsia" w:ascii="仿宋_GB2312" w:hAnsi="ˎ̥" w:eastAsia="仿宋_GB2312"/>
          <w:color w:val="000000" w:themeColor="text1"/>
          <w:sz w:val="32"/>
          <w:szCs w:val="32"/>
        </w:rPr>
        <w:t>，完成年初预算的100%。其中：</w:t>
      </w:r>
      <w:r>
        <w:rPr>
          <w:rFonts w:hint="eastAsia" w:ascii="仿宋_GB2312" w:hAnsi="ˎ̥" w:eastAsia="仿宋_GB2312"/>
          <w:bCs/>
          <w:color w:val="000000" w:themeColor="text1"/>
          <w:sz w:val="32"/>
          <w:szCs w:val="32"/>
        </w:rPr>
        <w:t>一般公共服务支出</w:t>
      </w:r>
      <w:r>
        <w:rPr>
          <w:rFonts w:hint="eastAsia" w:ascii="仿宋_GB2312" w:hAnsi="ˎ̥" w:eastAsia="仿宋_GB2312"/>
          <w:color w:val="000000" w:themeColor="text1"/>
          <w:sz w:val="32"/>
          <w:szCs w:val="32"/>
        </w:rPr>
        <w:t>为</w:t>
      </w:r>
      <w:r>
        <w:rPr>
          <w:rFonts w:hint="eastAsia" w:ascii="仿宋_GB2312" w:hAnsi="ˎ̥" w:eastAsia="仿宋_GB2312"/>
          <w:sz w:val="32"/>
          <w:szCs w:val="32"/>
          <w:lang w:val="en-US" w:eastAsia="zh-CN"/>
        </w:rPr>
        <w:t>159.14</w:t>
      </w:r>
      <w:r>
        <w:rPr>
          <w:rFonts w:hint="eastAsia" w:ascii="仿宋_GB2312" w:hAnsi="ˎ̥" w:eastAsia="仿宋_GB2312"/>
          <w:sz w:val="32"/>
          <w:szCs w:val="32"/>
        </w:rPr>
        <w:t>万</w:t>
      </w:r>
      <w:r>
        <w:rPr>
          <w:rFonts w:hint="eastAsia" w:ascii="仿宋_GB2312" w:hAnsi="ˎ̥" w:eastAsia="仿宋_GB2312"/>
          <w:color w:val="000000" w:themeColor="text1"/>
          <w:sz w:val="32"/>
          <w:szCs w:val="32"/>
        </w:rPr>
        <w:t>元。</w:t>
      </w:r>
    </w:p>
    <w:p>
      <w:pPr>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202</w:t>
      </w:r>
      <w:r>
        <w:rPr>
          <w:rFonts w:hint="eastAsia" w:ascii="仿宋_GB2312" w:hAnsi="ˎ̥" w:eastAsia="仿宋_GB2312"/>
          <w:color w:val="000000" w:themeColor="text1"/>
          <w:sz w:val="32"/>
          <w:szCs w:val="32"/>
          <w:lang w:val="en-US" w:eastAsia="zh-CN"/>
        </w:rPr>
        <w:t>2</w:t>
      </w:r>
      <w:r>
        <w:rPr>
          <w:rFonts w:hint="eastAsia" w:ascii="仿宋_GB2312" w:hAnsi="ˎ̥" w:eastAsia="仿宋_GB2312"/>
          <w:color w:val="000000" w:themeColor="text1"/>
          <w:sz w:val="32"/>
          <w:szCs w:val="32"/>
        </w:rPr>
        <w:t>年度财政拨款基本支出</w:t>
      </w:r>
      <w:r>
        <w:rPr>
          <w:rFonts w:hint="eastAsia" w:ascii="仿宋_GB2312" w:hAnsi="仿宋_GB2312" w:eastAsia="仿宋_GB2312" w:cs="仿宋_GB2312"/>
          <w:color w:val="000000" w:themeColor="text1"/>
          <w:sz w:val="32"/>
          <w:szCs w:val="32"/>
        </w:rPr>
        <w:t>0</w:t>
      </w:r>
      <w:r>
        <w:rPr>
          <w:rFonts w:hint="eastAsia" w:ascii="仿宋_GB2312" w:hAnsi="ˎ̥" w:eastAsia="仿宋_GB2312"/>
          <w:color w:val="000000" w:themeColor="text1"/>
          <w:sz w:val="32"/>
          <w:szCs w:val="32"/>
        </w:rPr>
        <w:t>万元，其中：人员经费0万元，公用经费</w:t>
      </w:r>
      <w:r>
        <w:rPr>
          <w:rFonts w:hint="eastAsia" w:ascii="仿宋_GB2312" w:hAnsi="仿宋_GB2312" w:eastAsia="仿宋_GB2312" w:cs="仿宋_GB2312"/>
          <w:color w:val="000000" w:themeColor="text1"/>
          <w:sz w:val="32"/>
          <w:szCs w:val="32"/>
        </w:rPr>
        <w:t>0</w:t>
      </w:r>
      <w:r>
        <w:rPr>
          <w:rFonts w:hint="eastAsia" w:ascii="仿宋_GB2312" w:hAnsi="ˎ̥" w:eastAsia="仿宋_GB2312"/>
          <w:color w:val="000000" w:themeColor="text1"/>
          <w:sz w:val="32"/>
          <w:szCs w:val="32"/>
        </w:rPr>
        <w:t>万元。</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七、政府性基金预算财政拨款收入支出决算情况说明</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rPr>
        <w:t>（一）</w:t>
      </w:r>
      <w:r>
        <w:rPr>
          <w:rFonts w:hint="eastAsia" w:ascii="仿宋_GB2312" w:hAnsi="ˎ̥" w:eastAsia="仿宋_GB2312"/>
          <w:sz w:val="32"/>
          <w:szCs w:val="32"/>
          <w:lang w:val="en-US" w:eastAsia="zh-CN"/>
        </w:rPr>
        <w:t>2022</w:t>
      </w:r>
      <w:r>
        <w:rPr>
          <w:rFonts w:hint="eastAsia" w:ascii="仿宋_GB2312" w:hAnsi="ˎ̥" w:eastAsia="仿宋_GB2312"/>
          <w:sz w:val="32"/>
          <w:szCs w:val="32"/>
        </w:rPr>
        <w:t>年度政府性基金预算财政拨款收入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cs="仿宋_GB2312"/>
          <w:sz w:val="32"/>
          <w:szCs w:val="32"/>
          <w:highlight w:val="none"/>
        </w:rPr>
        <w:t>与202</w:t>
      </w:r>
      <w:r>
        <w:rPr>
          <w:rFonts w:hint="eastAsia" w:ascii="仿宋_GB2312" w:hAnsi="ˎ̥" w:eastAsia="仿宋_GB2312" w:cs="仿宋_GB2312"/>
          <w:sz w:val="32"/>
          <w:szCs w:val="32"/>
          <w:highlight w:val="none"/>
          <w:lang w:val="en-US" w:eastAsia="zh-CN"/>
        </w:rPr>
        <w:t>1</w:t>
      </w:r>
      <w:r>
        <w:rPr>
          <w:rFonts w:hint="eastAsia" w:ascii="仿宋_GB2312" w:hAnsi="ˎ̥" w:eastAsia="仿宋_GB2312" w:cs="仿宋_GB2312"/>
          <w:sz w:val="32"/>
          <w:szCs w:val="32"/>
          <w:highlight w:val="none"/>
        </w:rPr>
        <w:t>年度相比，政府性基金预算财政拨款支出增加</w:t>
      </w:r>
      <w:r>
        <w:rPr>
          <w:rFonts w:hint="eastAsia" w:ascii="仿宋_GB2312" w:hAnsi="ˎ̥" w:eastAsia="仿宋_GB2312" w:cs="仿宋_GB2312"/>
          <w:sz w:val="32"/>
          <w:szCs w:val="32"/>
          <w:highlight w:val="none"/>
          <w:lang w:val="en-US" w:eastAsia="zh-CN"/>
        </w:rPr>
        <w:t>0</w:t>
      </w:r>
      <w:r>
        <w:rPr>
          <w:rFonts w:hint="eastAsia" w:ascii="仿宋_GB2312" w:hAnsi="ˎ̥" w:eastAsia="仿宋_GB2312" w:cs="仿宋_GB2312"/>
          <w:sz w:val="32"/>
          <w:szCs w:val="32"/>
          <w:highlight w:val="none"/>
        </w:rPr>
        <w:t>万元，增长</w:t>
      </w:r>
      <w:bookmarkStart w:id="116" w:name="_GoBack"/>
      <w:bookmarkEnd w:id="116"/>
      <w:r>
        <w:rPr>
          <w:rFonts w:hint="eastAsia" w:ascii="仿宋_GB2312" w:hAnsi="ˎ̥" w:eastAsia="仿宋_GB2312" w:cs="仿宋_GB2312"/>
          <w:sz w:val="32"/>
          <w:szCs w:val="32"/>
          <w:highlight w:val="none"/>
          <w:lang w:val="en-US" w:eastAsia="zh-CN"/>
        </w:rPr>
        <w:t>0</w:t>
      </w:r>
      <w:r>
        <w:rPr>
          <w:rFonts w:hint="eastAsia" w:ascii="仿宋_GB2312" w:hAnsi="ˎ̥" w:eastAsia="仿宋_GB2312" w:cs="仿宋_GB2312"/>
          <w:sz w:val="32"/>
          <w:szCs w:val="32"/>
          <w:highlight w:val="none"/>
        </w:rPr>
        <w:t>%，主要原因是</w:t>
      </w:r>
      <w:r>
        <w:rPr>
          <w:rFonts w:hint="eastAsia" w:ascii="仿宋_GB2312" w:hAnsi="ˎ̥" w:eastAsia="仿宋_GB2312" w:cs="仿宋_GB2312"/>
          <w:sz w:val="32"/>
          <w:szCs w:val="32"/>
          <w:highlight w:val="none"/>
          <w:lang w:val="en-US" w:eastAsia="zh-CN"/>
        </w:rPr>
        <w:t>2022</w:t>
      </w:r>
      <w:r>
        <w:rPr>
          <w:rFonts w:hint="eastAsia" w:ascii="仿宋_GB2312" w:hAnsi="ˎ̥" w:eastAsia="仿宋_GB2312" w:cs="仿宋_GB2312"/>
          <w:sz w:val="32"/>
          <w:szCs w:val="32"/>
          <w:highlight w:val="none"/>
          <w:lang w:eastAsia="zh-CN"/>
        </w:rPr>
        <w:t>年度无</w:t>
      </w:r>
      <w:r>
        <w:rPr>
          <w:rFonts w:hint="eastAsia" w:ascii="仿宋_GB2312" w:hAnsi="ˎ̥" w:eastAsia="仿宋_GB2312"/>
          <w:sz w:val="32"/>
          <w:szCs w:val="32"/>
          <w:highlight w:val="none"/>
        </w:rPr>
        <w:t>政府性基金</w:t>
      </w:r>
      <w:r>
        <w:rPr>
          <w:rFonts w:hint="eastAsia" w:ascii="仿宋_GB2312" w:hAnsi="ˎ̥" w:eastAsia="仿宋_GB2312"/>
          <w:sz w:val="32"/>
          <w:szCs w:val="32"/>
        </w:rPr>
        <w:t>预算财政拨款</w:t>
      </w:r>
      <w:r>
        <w:rPr>
          <w:rFonts w:hint="eastAsia" w:ascii="仿宋_GB2312" w:hAnsi="ˎ̥" w:eastAsia="仿宋_GB2312"/>
          <w:sz w:val="32"/>
          <w:szCs w:val="32"/>
          <w:lang w:eastAsia="zh-CN"/>
        </w:rPr>
        <w:t>收入</w:t>
      </w:r>
      <w:r>
        <w:rPr>
          <w:rFonts w:hint="eastAsia" w:ascii="仿宋_GB2312" w:hAnsi="ˎ̥" w:eastAsia="仿宋_GB2312"/>
          <w:sz w:val="32"/>
          <w:szCs w:val="32"/>
        </w:rPr>
        <w:t>。</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rPr>
        <w:t>（二）20</w:t>
      </w:r>
      <w:r>
        <w:rPr>
          <w:rFonts w:hint="eastAsia" w:ascii="仿宋_GB2312" w:hAnsi="ˎ̥" w:eastAsia="仿宋_GB2312"/>
          <w:sz w:val="32"/>
          <w:szCs w:val="32"/>
          <w:lang w:val="en-US" w:eastAsia="zh-CN"/>
        </w:rPr>
        <w:t>22</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rPr>
          <w:rFonts w:hint="eastAsia" w:ascii="仿宋_GB2312" w:hAnsi="ˎ̥" w:eastAsia="仿宋_GB2312"/>
          <w:color w:val="FF0000"/>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（三）</w:t>
      </w:r>
      <w:r>
        <w:rPr>
          <w:rFonts w:hint="eastAsia" w:ascii="仿宋_GB2312" w:hAnsi="ˎ̥" w:eastAsia="仿宋_GB2312"/>
          <w:sz w:val="32"/>
          <w:szCs w:val="32"/>
          <w:lang w:eastAsia="zh-CN"/>
        </w:rPr>
        <w:t>天涯区金鸡岭路大社区综合服务中心</w:t>
      </w:r>
      <w:r>
        <w:rPr>
          <w:rFonts w:hint="eastAsia" w:ascii="仿宋_GB2312" w:hAnsi="ˎ̥" w:eastAsia="仿宋_GB2312"/>
          <w:sz w:val="32"/>
          <w:szCs w:val="32"/>
          <w:lang w:val="en-US" w:eastAsia="zh-CN"/>
        </w:rPr>
        <w:t>2022年无政府性基金预算安排。</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年度国有资本经营预算财政拨款支出0万元，占本年支出合计的0%。</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年度国有资本经营预算财政拨款支出0万元。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年度国有资本经营预算财政拨款支出年初预算为0万元，支出决算为0万元，支出决算与预算数持平。</w:t>
      </w:r>
    </w:p>
    <w:p>
      <w:pPr>
        <w:ind w:firstLine="627" w:firstLineChars="196"/>
        <w:rPr>
          <w:rFonts w:ascii="仿宋_GB2312" w:hAnsi="ˎ̥" w:eastAsia="楷体_GB2312"/>
          <w:sz w:val="32"/>
          <w:szCs w:val="32"/>
        </w:rPr>
      </w:pPr>
      <w:r>
        <w:rPr>
          <w:rFonts w:hint="eastAsia" w:ascii="黑体" w:hAnsi="黑体" w:eastAsia="黑体" w:cs="黑体"/>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0"/>
        <w:rPr>
          <w:rFonts w:ascii="仿宋_GB2312" w:hAnsi="ˎ̥" w:eastAsia="仿宋_GB2312"/>
          <w:color w:val="000000" w:themeColor="text1"/>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年度一般公共预算财政拨款“三公”经费支出预算为0万元</w:t>
      </w:r>
      <w:r>
        <w:rPr>
          <w:rFonts w:hint="eastAsia" w:ascii="仿宋_GB2312" w:hAnsi="ˎ̥" w:eastAsia="仿宋_GB2312"/>
          <w:color w:val="0000FF"/>
          <w:sz w:val="32"/>
          <w:szCs w:val="32"/>
        </w:rPr>
        <w:t>，</w:t>
      </w:r>
      <w:r>
        <w:rPr>
          <w:rFonts w:hint="eastAsia" w:ascii="仿宋_GB2312" w:hAnsi="ˎ̥" w:eastAsia="仿宋_GB2312"/>
          <w:sz w:val="32"/>
          <w:szCs w:val="32"/>
        </w:rPr>
        <w:t>支出决算为0万元。</w:t>
      </w:r>
      <w:r>
        <w:rPr>
          <w:rFonts w:hint="eastAsia" w:ascii="仿宋_GB2312" w:hAnsi="ˎ̥" w:eastAsia="仿宋_GB2312"/>
          <w:color w:val="000000" w:themeColor="text1"/>
          <w:sz w:val="32"/>
          <w:szCs w:val="32"/>
        </w:rPr>
        <w:t>一般公共预算财政拨款“三公”经费支出决算比预算数持平。</w:t>
      </w:r>
    </w:p>
    <w:p>
      <w:pPr>
        <w:rPr>
          <w:rFonts w:ascii="楷体" w:hAnsi="楷体" w:eastAsia="楷体" w:cs="楷体"/>
          <w:b/>
          <w:bCs/>
          <w:sz w:val="32"/>
          <w:szCs w:val="32"/>
        </w:rPr>
      </w:pPr>
      <w:r>
        <w:rPr>
          <w:rFonts w:hint="eastAsia" w:ascii="楷体" w:hAnsi="楷体" w:eastAsia="楷体" w:cs="楷体"/>
          <w:b/>
          <w:bCs/>
          <w:sz w:val="32"/>
          <w:szCs w:val="32"/>
        </w:rPr>
        <w:t xml:space="preserve">   （二）一般公共预算“三公”经费财政拨款支出决算具体情况说明。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年度一般公共预算财政拨款“三公”经费支出决算中，因公出国（境）费支出决算0万元，占0%；公务用车购置及运行费支出决算0万元，占0%；公务接待费支出决算0万元，占0%。具体情况如下：</w:t>
      </w:r>
    </w:p>
    <w:p>
      <w:pPr>
        <w:ind w:firstLine="642"/>
        <w:rPr>
          <w:rFonts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支出0万元。全年安排因公出国（境）团组0个，因公出国（境）0人次。</w:t>
      </w:r>
    </w:p>
    <w:p>
      <w:pPr>
        <w:ind w:firstLine="642"/>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因公出国（境）费支出决算比预算数持平。</w:t>
      </w:r>
    </w:p>
    <w:p>
      <w:pPr>
        <w:rPr>
          <w:rFonts w:ascii="仿宋_GB2312" w:hAnsi="ˎ̥" w:eastAsia="仿宋_GB2312"/>
          <w:sz w:val="32"/>
          <w:szCs w:val="32"/>
        </w:rPr>
      </w:pPr>
      <w:r>
        <w:rPr>
          <w:rFonts w:hint="eastAsia" w:ascii="仿宋_GB2312" w:hAnsi="ˎ̥" w:eastAsia="仿宋_GB2312"/>
          <w:b/>
          <w:sz w:val="32"/>
          <w:szCs w:val="32"/>
        </w:rPr>
        <w:t xml:space="preserve">    2.公务用车购置及运行费支出</w:t>
      </w:r>
      <w:r>
        <w:rPr>
          <w:rFonts w:hint="eastAsia" w:ascii="仿宋_GB2312" w:hAnsi="ˎ̥" w:eastAsia="仿宋_GB2312"/>
          <w:sz w:val="32"/>
          <w:szCs w:val="32"/>
        </w:rPr>
        <w:t>0万元。其中：</w:t>
      </w:r>
    </w:p>
    <w:p>
      <w:pPr>
        <w:ind w:firstLine="643" w:firstLineChars="200"/>
        <w:rPr>
          <w:rFonts w:ascii="仿宋_GB2312" w:hAnsi="ˎ̥" w:eastAsia="仿宋_GB2312"/>
          <w:sz w:val="32"/>
          <w:szCs w:val="32"/>
        </w:rPr>
      </w:pPr>
      <w:r>
        <w:rPr>
          <w:rFonts w:hint="eastAsia" w:ascii="仿宋_GB2312" w:hAnsi="ˎ̥" w:eastAsia="仿宋_GB2312"/>
          <w:b/>
          <w:sz w:val="32"/>
          <w:szCs w:val="32"/>
        </w:rPr>
        <w:t>公务用车购置支出</w:t>
      </w:r>
      <w:r>
        <w:rPr>
          <w:rFonts w:hint="eastAsia" w:ascii="仿宋_GB2312" w:hAnsi="ˎ̥" w:eastAsia="仿宋_GB2312"/>
          <w:sz w:val="32"/>
          <w:szCs w:val="32"/>
        </w:rPr>
        <w:t>0万元，全年购置公务用车0辆，年末公务用车保有量0辆。</w:t>
      </w:r>
    </w:p>
    <w:p>
      <w:pPr>
        <w:pStyle w:val="5"/>
        <w:widowControl/>
        <w:shd w:val="clear" w:color="auto" w:fill="FFFFFF"/>
        <w:wordWrap w:val="0"/>
        <w:spacing w:line="450" w:lineRule="atLeast"/>
        <w:rPr>
          <w:rFonts w:hint="default" w:ascii="仿宋_GB2312" w:hAnsi="ˎ̥" w:eastAsia="仿宋_GB2312"/>
          <w:sz w:val="32"/>
          <w:szCs w:val="32"/>
        </w:rPr>
      </w:pPr>
      <w:r>
        <w:rPr>
          <w:rFonts w:ascii="仿宋_GB2312" w:hAnsi="ˎ̥" w:eastAsia="仿宋_GB2312"/>
          <w:b/>
          <w:sz w:val="32"/>
          <w:szCs w:val="32"/>
        </w:rPr>
        <w:t>公务用车运行维护费</w:t>
      </w:r>
      <w:r>
        <w:rPr>
          <w:rFonts w:ascii="仿宋_GB2312" w:hAnsi="ˎ̥" w:eastAsia="仿宋_GB2312" w:cstheme="minorBidi"/>
          <w:b/>
          <w:kern w:val="2"/>
          <w:sz w:val="32"/>
          <w:szCs w:val="32"/>
        </w:rPr>
        <w:t>支出</w:t>
      </w:r>
      <w:r>
        <w:rPr>
          <w:rFonts w:ascii="仿宋_GB2312" w:hAnsi="ˎ̥" w:eastAsia="仿宋_GB2312"/>
          <w:sz w:val="32"/>
          <w:szCs w:val="32"/>
        </w:rPr>
        <w:t>0万元。</w:t>
      </w:r>
    </w:p>
    <w:p>
      <w:pPr>
        <w:rPr>
          <w:rFonts w:ascii="仿宋_GB2312" w:hAnsi="ˎ̥" w:eastAsia="仿宋_GB2312"/>
          <w:b/>
          <w:color w:val="5B9BD5" w:themeColor="accent1"/>
          <w:sz w:val="32"/>
          <w:szCs w:val="32"/>
        </w:rPr>
      </w:pPr>
      <w:r>
        <w:rPr>
          <w:rFonts w:hint="eastAsia" w:ascii="仿宋_GB2312" w:hAnsi="ˎ̥" w:eastAsia="仿宋_GB2312" w:cs="宋体"/>
          <w:color w:val="000000" w:themeColor="text1"/>
          <w:kern w:val="0"/>
          <w:sz w:val="32"/>
          <w:szCs w:val="32"/>
        </w:rPr>
        <w:t>公务用车购置及运行费</w:t>
      </w:r>
      <w:r>
        <w:rPr>
          <w:rFonts w:hint="eastAsia" w:ascii="仿宋_GB2312" w:hAnsi="ˎ̥" w:eastAsia="仿宋_GB2312"/>
          <w:color w:val="000000" w:themeColor="text1"/>
          <w:sz w:val="32"/>
          <w:szCs w:val="32"/>
        </w:rPr>
        <w:t>支出决算比预算数持平。</w:t>
      </w:r>
    </w:p>
    <w:p>
      <w:pPr>
        <w:ind w:firstLine="643" w:firstLineChars="200"/>
        <w:rPr>
          <w:rFonts w:ascii="仿宋_GB2312" w:hAnsi="ˎ̥" w:eastAsia="仿宋_GB2312"/>
          <w:sz w:val="32"/>
          <w:szCs w:val="32"/>
        </w:rPr>
      </w:pPr>
      <w:r>
        <w:rPr>
          <w:rFonts w:hint="eastAsia" w:ascii="仿宋_GB2312" w:hAnsi="ˎ̥" w:eastAsia="仿宋_GB2312"/>
          <w:b/>
          <w:sz w:val="32"/>
          <w:szCs w:val="32"/>
        </w:rPr>
        <w:t>3.公务接待费支出</w:t>
      </w:r>
      <w:r>
        <w:rPr>
          <w:rFonts w:hint="eastAsia" w:ascii="仿宋_GB2312" w:hAnsi="ˎ̥" w:eastAsia="仿宋_GB2312"/>
          <w:sz w:val="32"/>
          <w:szCs w:val="32"/>
        </w:rPr>
        <w:t>0万元，其中：</w:t>
      </w:r>
      <w:r>
        <w:rPr>
          <w:rFonts w:hint="eastAsia" w:ascii="仿宋_GB2312" w:hAnsi="ˎ̥" w:eastAsia="仿宋_GB2312"/>
          <w:b/>
          <w:sz w:val="32"/>
          <w:szCs w:val="32"/>
        </w:rPr>
        <w:t>国内接待费</w:t>
      </w:r>
      <w:r>
        <w:rPr>
          <w:rFonts w:hint="eastAsia" w:ascii="仿宋_GB2312" w:hAnsi="ˎ̥" w:eastAsia="仿宋_GB2312"/>
          <w:sz w:val="32"/>
          <w:szCs w:val="32"/>
        </w:rPr>
        <w:t>支出0万元，国内公务接待0批次，接待0人次0。</w:t>
      </w:r>
    </w:p>
    <w:p>
      <w:pPr>
        <w:ind w:firstLine="640" w:firstLineChars="200"/>
        <w:rPr>
          <w:rFonts w:ascii="仿宋_GB2312" w:hAnsi="ˎ̥" w:eastAsia="仿宋_GB2312"/>
          <w:color w:val="FF0000"/>
          <w:sz w:val="32"/>
          <w:szCs w:val="32"/>
        </w:rPr>
      </w:pPr>
      <w:r>
        <w:rPr>
          <w:rFonts w:hint="eastAsia" w:ascii="仿宋_GB2312" w:hAnsi="ˎ̥" w:eastAsia="仿宋_GB2312"/>
          <w:sz w:val="32"/>
          <w:szCs w:val="32"/>
        </w:rPr>
        <w:t>国（境）外接待费支出0万元，国（境）外公务接待0批次，接待0人次，</w:t>
      </w:r>
      <w:r>
        <w:rPr>
          <w:rFonts w:hint="eastAsia" w:ascii="仿宋_GB2312" w:hAnsi="ˎ̥" w:eastAsia="仿宋_GB2312"/>
          <w:color w:val="000000" w:themeColor="text1"/>
          <w:sz w:val="32"/>
          <w:szCs w:val="32"/>
        </w:rPr>
        <w:t>公务接待费支出决算数比预算数持平。</w:t>
      </w:r>
    </w:p>
    <w:p>
      <w:pPr>
        <w:ind w:firstLine="627" w:firstLineChars="196"/>
        <w:rPr>
          <w:rFonts w:ascii="仿宋_GB2312" w:hAnsi="ˎ̥"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ˎ̥" w:eastAsia="仿宋_GB2312"/>
          <w:color w:val="0000FF"/>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年度政府性基金预算财政拨款“三公”经费支出合计0万元。其中：因公出国（境）费支出决算0万元，占0%；公务用车购置及运行费支出决算0万元，占0；公务接待费支出决算0万元，占0%。</w:t>
      </w:r>
    </w:p>
    <w:p>
      <w:pPr>
        <w:ind w:firstLine="627" w:firstLineChars="196"/>
        <w:rPr>
          <w:rFonts w:ascii="仿宋_GB2312" w:hAnsi="ˎ̥"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pPr>
      <w:r>
        <w:rPr>
          <w:rFonts w:hint="eastAsia" w:ascii="仿宋_GB2312" w:hAnsi="ˎ̥" w:eastAsia="仿宋_GB2312"/>
          <w:sz w:val="32"/>
          <w:szCs w:val="32"/>
        </w:rPr>
        <w:t>2021年度国有资本经营预算财政拨款“三公”经费支出合计0万元。其中：因公出国（境）费支出决算0万元，占0%；公务用车购置及运行费支出决算0万元，占0%；公务接待费支出决算0万元，占0%。</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仿宋_GB2312" w:eastAsia="仿宋_GB2312"/>
          <w:sz w:val="32"/>
          <w:szCs w:val="32"/>
        </w:rPr>
      </w:pPr>
      <w:r>
        <w:rPr>
          <w:rFonts w:hint="eastAsia" w:ascii="楷体" w:hAnsi="楷体" w:eastAsia="楷体" w:cs="楷体"/>
          <w:b/>
          <w:sz w:val="32"/>
          <w:szCs w:val="32"/>
        </w:rPr>
        <w:t>（一）绩效管理工作开展情况。</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由于我中心是2021年11月揭牌成立的新单位，2021年3月开始招聘人员，单位开始正常运营，所以我单位在202</w:t>
      </w:r>
      <w:r>
        <w:rPr>
          <w:rFonts w:hint="eastAsia" w:ascii="仿宋_GB2312" w:eastAsia="仿宋_GB2312"/>
          <w:sz w:val="32"/>
          <w:szCs w:val="32"/>
          <w:lang w:val="en-US" w:eastAsia="zh-CN"/>
        </w:rPr>
        <w:t>2</w:t>
      </w:r>
      <w:r>
        <w:rPr>
          <w:rFonts w:hint="eastAsia" w:ascii="仿宋_GB2312" w:eastAsia="仿宋_GB2312"/>
          <w:sz w:val="32"/>
          <w:szCs w:val="32"/>
        </w:rPr>
        <w:t>年无项目绩效自评。</w:t>
      </w:r>
    </w:p>
    <w:p>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（二）部门决算中项目绩效自评结果。</w:t>
      </w:r>
    </w:p>
    <w:p>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无</w:t>
      </w:r>
    </w:p>
    <w:p>
      <w:pPr>
        <w:spacing w:line="578" w:lineRule="exact"/>
        <w:ind w:firstLine="643" w:firstLineChars="200"/>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（三）财政评价项目绩效评价结果。</w:t>
      </w:r>
    </w:p>
    <w:p>
      <w:pPr>
        <w:spacing w:line="578"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无。</w:t>
      </w:r>
    </w:p>
    <w:p>
      <w:pPr>
        <w:spacing w:line="578" w:lineRule="exact"/>
        <w:ind w:firstLine="643" w:firstLineChars="200"/>
        <w:rPr>
          <w:color w:val="000000" w:themeColor="text1"/>
        </w:rPr>
      </w:pPr>
      <w:r>
        <w:rPr>
          <w:rFonts w:hint="eastAsia" w:ascii="楷体" w:hAnsi="楷体" w:eastAsia="楷体" w:cs="楷体"/>
          <w:b/>
          <w:color w:val="000000" w:themeColor="text1"/>
          <w:sz w:val="32"/>
          <w:szCs w:val="32"/>
        </w:rPr>
        <w:t>（四）部门评价项目绩效评价结果。</w:t>
      </w:r>
    </w:p>
    <w:p>
      <w:pPr>
        <w:spacing w:line="578"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无。</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2" w:name="_Toc32639_WPSOffice_Level2"/>
      <w:bookmarkStart w:id="93" w:name="_Toc15565_WPSOffice_Level2"/>
      <w:bookmarkStart w:id="94" w:name="_Toc18325_WPSOffice_Level2"/>
      <w:bookmarkStart w:id="95" w:name="_Toc5978_WPSOffice_Level2"/>
      <w:bookmarkStart w:id="96" w:name="_Toc23598_WPSOffice_Level2"/>
      <w:bookmarkStart w:id="97" w:name="_Toc15262_WPSOffice_Level2"/>
      <w:r>
        <w:rPr>
          <w:rFonts w:hint="eastAsia" w:ascii="楷体" w:hAnsi="楷体" w:eastAsia="楷体" w:cs="楷体"/>
          <w:b/>
          <w:sz w:val="32"/>
          <w:szCs w:val="32"/>
        </w:rPr>
        <w:t>（一）</w:t>
      </w:r>
      <w:bookmarkStart w:id="98" w:name="_Toc23966_WPSOffice_Level2"/>
      <w:bookmarkStart w:id="99" w:name="_Toc30383_WPSOffice_Level2"/>
      <w:bookmarkStart w:id="100" w:name="_Toc25333_WPSOffice_Level2"/>
      <w:bookmarkStart w:id="101" w:name="_Toc32689_WPSOffice_Level2"/>
      <w:bookmarkStart w:id="102" w:name="_Toc3131_WPSOffice_Level2"/>
      <w:bookmarkStart w:id="103" w:name="_Toc13084_WPSOffice_Level2"/>
      <w:bookmarkEnd w:id="92"/>
      <w:bookmarkEnd w:id="93"/>
      <w:bookmarkEnd w:id="94"/>
      <w:bookmarkEnd w:id="95"/>
      <w:bookmarkEnd w:id="96"/>
      <w:bookmarkEnd w:id="97"/>
      <w:r>
        <w:rPr>
          <w:rFonts w:hint="eastAsia" w:ascii="楷体" w:hAnsi="楷体" w:eastAsia="楷体" w:cs="楷体"/>
          <w:b/>
          <w:sz w:val="32"/>
          <w:szCs w:val="32"/>
        </w:rPr>
        <w:t>政府采购支出情况。</w:t>
      </w:r>
      <w:bookmarkEnd w:id="98"/>
      <w:bookmarkEnd w:id="99"/>
      <w:bookmarkEnd w:id="100"/>
      <w:bookmarkEnd w:id="101"/>
      <w:bookmarkEnd w:id="102"/>
      <w:bookmarkEnd w:id="103"/>
    </w:p>
    <w:p>
      <w:pPr>
        <w:ind w:firstLine="640" w:firstLineChars="200"/>
        <w:rPr>
          <w:rFonts w:ascii="仿宋_GB2312" w:hAnsi="ˎ̥" w:eastAsia="仿宋_GB2312"/>
          <w:sz w:val="32"/>
          <w:szCs w:val="32"/>
        </w:rPr>
      </w:pPr>
      <w:bookmarkStart w:id="104" w:name="_Toc19989_WPSOffice_Level2"/>
      <w:bookmarkStart w:id="105" w:name="_Toc10902_WPSOffice_Level2"/>
      <w:bookmarkStart w:id="106" w:name="_Toc29584_WPSOffice_Level2"/>
      <w:bookmarkStart w:id="107" w:name="_Toc15129_WPSOffice_Level2"/>
      <w:bookmarkStart w:id="108" w:name="_Toc6016_WPSOffice_Level2"/>
      <w:bookmarkStart w:id="109" w:name="_Toc527_WPSOffice_Level2"/>
      <w:r>
        <w:rPr>
          <w:rFonts w:hint="eastAsia" w:ascii="仿宋_GB2312" w:hAnsi="ˎ̥" w:eastAsia="仿宋_GB2312"/>
          <w:sz w:val="32"/>
          <w:szCs w:val="32"/>
        </w:rPr>
        <w:t>202</w:t>
      </w:r>
      <w:r>
        <w:rPr>
          <w:rFonts w:hint="eastAsia" w:ascii="仿宋_GB2312" w:hAnsi="ˎ̥" w:eastAsia="仿宋_GB2312"/>
          <w:sz w:val="32"/>
          <w:szCs w:val="32"/>
          <w:lang w:val="en-US" w:eastAsia="zh-CN"/>
        </w:rPr>
        <w:t>2</w:t>
      </w:r>
      <w:r>
        <w:rPr>
          <w:rFonts w:hint="eastAsia" w:ascii="仿宋_GB2312" w:hAnsi="ˎ̥" w:eastAsia="仿宋_GB2312"/>
          <w:sz w:val="32"/>
          <w:szCs w:val="32"/>
        </w:rPr>
        <w:t>年度天涯区金鸡岭大社区综合服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643" w:firstLineChars="200"/>
        <w:rPr>
          <w:rFonts w:ascii="楷体" w:hAnsi="楷体" w:eastAsia="楷体" w:cs="楷体"/>
          <w:b/>
          <w:sz w:val="32"/>
          <w:szCs w:val="32"/>
        </w:rPr>
      </w:pPr>
      <w:r>
        <w:rPr>
          <w:rFonts w:hint="eastAsia" w:ascii="楷体" w:hAnsi="楷体" w:eastAsia="楷体" w:cs="楷体"/>
          <w:b/>
          <w:sz w:val="32"/>
          <w:szCs w:val="32"/>
        </w:rPr>
        <w:t>（三）国有资产占用情况。</w:t>
      </w:r>
      <w:bookmarkEnd w:id="104"/>
      <w:bookmarkEnd w:id="105"/>
      <w:bookmarkEnd w:id="106"/>
      <w:bookmarkEnd w:id="107"/>
      <w:bookmarkEnd w:id="108"/>
      <w:bookmarkEnd w:id="109"/>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截至202</w:t>
      </w:r>
      <w:r>
        <w:rPr>
          <w:rFonts w:hint="eastAsia" w:ascii="仿宋_GB2312" w:hAnsi="ˎ̥" w:eastAsia="仿宋_GB2312"/>
          <w:sz w:val="32"/>
          <w:szCs w:val="32"/>
          <w:lang w:val="en-US" w:eastAsia="zh-CN"/>
        </w:rPr>
        <w:t>2</w:t>
      </w:r>
      <w:r>
        <w:rPr>
          <w:rFonts w:hint="eastAsia" w:ascii="仿宋_GB2312" w:hAnsi="ˎ̥" w:eastAsia="仿宋_GB2312"/>
          <w:sz w:val="32"/>
          <w:szCs w:val="32"/>
        </w:rPr>
        <w:t>年度12月31日，本部门共有公务车辆0辆，其中，部级领导干部用车0辆、一般公务用车0辆、一般执法执勤用车0辆、特种专业技术用车0辆、其他用车0辆；单位价值50万元以上通用设备0台（套），单价100万元以上专用设备0台（套）。</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本部门占用房屋面积0平方米，其中：办公用房0平方米，业务用房0平方米，其他（不含构筑物）0平方米。</w:t>
      </w:r>
    </w:p>
    <w:p>
      <w:pPr>
        <w:rPr>
          <w:rFonts w:ascii="黑体" w:hAnsi="ˎ̥" w:eastAsia="黑体"/>
          <w:sz w:val="32"/>
          <w:szCs w:val="32"/>
        </w:rPr>
      </w:pPr>
      <w:bookmarkStart w:id="110" w:name="_Toc4398_WPSOffice_Level1"/>
      <w:bookmarkStart w:id="111" w:name="_Toc8808_WPSOffice_Level1"/>
      <w:bookmarkStart w:id="112" w:name="_Toc15425_WPSOffice_Level1"/>
      <w:bookmarkStart w:id="113" w:name="_Toc11039_WPSOffice_Level1"/>
      <w:bookmarkStart w:id="114" w:name="_Toc8874_WPSOffice_Level1"/>
      <w:bookmarkStart w:id="115" w:name="_Toc17580_WPSOffice_Level1"/>
    </w:p>
    <w:p>
      <w:pPr>
        <w:rPr>
          <w:rFonts w:ascii="黑体" w:hAnsi="ˎ̥" w:eastAsia="黑体"/>
          <w:sz w:val="32"/>
          <w:szCs w:val="32"/>
        </w:rPr>
      </w:pPr>
      <w:r>
        <w:rPr>
          <w:rFonts w:hint="eastAsia" w:ascii="黑体" w:hAnsi="ˎ̥" w:eastAsia="黑体"/>
          <w:sz w:val="32"/>
          <w:szCs w:val="32"/>
        </w:rPr>
        <w:t>第四部分  名词解释</w:t>
      </w:r>
      <w:bookmarkEnd w:id="110"/>
      <w:bookmarkEnd w:id="111"/>
      <w:bookmarkEnd w:id="112"/>
      <w:bookmarkEnd w:id="113"/>
      <w:bookmarkEnd w:id="114"/>
      <w:bookmarkEnd w:id="115"/>
    </w:p>
    <w:p>
      <w:pPr>
        <w:rPr>
          <w:rFonts w:ascii="仿宋_GB2312" w:hAnsi="ˎ̥" w:eastAsia="仿宋_GB2312"/>
          <w:sz w:val="32"/>
          <w:szCs w:val="32"/>
        </w:rPr>
      </w:pPr>
      <w:r>
        <w:rPr>
          <w:rFonts w:hint="eastAsia" w:ascii="仿宋_GB2312" w:hAnsi="ˎ̥" w:eastAsia="仿宋_GB2312"/>
          <w:sz w:val="32"/>
          <w:szCs w:val="32"/>
        </w:rPr>
        <w:t>一、财政拨款收入：指本级财政当年拨付的资金。</w:t>
      </w:r>
    </w:p>
    <w:p>
      <w:pPr>
        <w:ind w:firstLine="640" w:firstLineChars="200"/>
        <w:rPr>
          <w:rFonts w:ascii="仿宋_GB2312" w:hAnsi="ˎ̥" w:eastAsia="仿宋_GB2312"/>
          <w:sz w:val="32"/>
          <w:szCs w:val="32"/>
        </w:rPr>
      </w:pPr>
      <w:r>
        <w:rPr>
          <w:rFonts w:hint="eastAsia" w:ascii="仿宋_GB2312" w:hAnsi="ˎ̥" w:eastAsia="仿宋_GB2312"/>
          <w:sz w:val="32"/>
          <w:szCs w:val="32"/>
        </w:rPr>
        <w:t>二、事业收入：指事业单位开展专业业务活动及辅助活动取得的收入。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三、经营收入：指事业单位在专业业务活动及其辅助活动之外开展非独立核算经营活动取得的收入。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四、其他收入：指除上述“财政拨款收入”“事业收入”“经营收入”等以外的收入。</w:t>
      </w:r>
    </w:p>
    <w:p>
      <w:pPr>
        <w:ind w:firstLine="640" w:firstLineChars="200"/>
        <w:rPr>
          <w:rFonts w:ascii="仿宋_GB2312" w:hAnsi="ˎ̥" w:eastAsia="仿宋_GB2312"/>
          <w:sz w:val="32"/>
          <w:szCs w:val="32"/>
        </w:rPr>
      </w:pPr>
      <w:r>
        <w:rPr>
          <w:rFonts w:hint="eastAsia" w:ascii="仿宋_GB2312" w:hAnsi="ˎ̥" w:eastAsia="仿宋_GB2312"/>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hAnsi="ˎ̥" w:eastAsia="仿宋_GB2312"/>
          <w:sz w:val="32"/>
          <w:szCs w:val="32"/>
        </w:rPr>
      </w:pPr>
      <w:r>
        <w:rPr>
          <w:rFonts w:hint="eastAsia" w:ascii="仿宋_GB2312" w:hAnsi="ˎ̥" w:eastAsia="仿宋_GB2312"/>
          <w:sz w:val="32"/>
          <w:szCs w:val="32"/>
        </w:rPr>
        <w:t>六、年初结转和结余：指以前年度尚未完成、结转到本年按有关规定继续使用的资金。</w:t>
      </w:r>
    </w:p>
    <w:p>
      <w:pPr>
        <w:ind w:firstLine="640" w:firstLineChars="200"/>
        <w:rPr>
          <w:rFonts w:ascii="仿宋_GB2312" w:hAnsi="ˎ̥" w:eastAsia="仿宋_GB2312"/>
          <w:sz w:val="32"/>
          <w:szCs w:val="32"/>
        </w:rPr>
      </w:pPr>
      <w:r>
        <w:rPr>
          <w:rFonts w:hint="eastAsia" w:ascii="仿宋_GB2312" w:hAnsi="ˎ̥"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rPr>
          <w:rFonts w:ascii="仿宋_GB2312" w:hAnsi="ˎ̥" w:eastAsia="仿宋_GB2312"/>
          <w:sz w:val="32"/>
          <w:szCs w:val="32"/>
        </w:rPr>
      </w:pPr>
      <w:r>
        <w:rPr>
          <w:rFonts w:hint="eastAsia" w:ascii="仿宋_GB2312" w:hAnsi="ˎ̥"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ascii="仿宋_GB2312" w:hAnsi="ˎ̥" w:eastAsia="仿宋_GB2312"/>
          <w:sz w:val="32"/>
          <w:szCs w:val="32"/>
        </w:rPr>
      </w:pPr>
      <w:r>
        <w:rPr>
          <w:rFonts w:hint="eastAsia" w:ascii="仿宋_GB2312" w:hAnsi="ˎ̥" w:eastAsia="仿宋_GB2312"/>
          <w:sz w:val="32"/>
          <w:szCs w:val="32"/>
        </w:rPr>
        <w:t>九、基本支出：指为保障机构正常运转、完成日常工作任务而发生的人员支出和公用支出。</w:t>
      </w:r>
    </w:p>
    <w:p>
      <w:pPr>
        <w:ind w:firstLine="640" w:firstLineChars="200"/>
        <w:rPr>
          <w:rFonts w:ascii="仿宋_GB2312" w:hAnsi="ˎ̥" w:eastAsia="仿宋_GB2312"/>
          <w:sz w:val="32"/>
          <w:szCs w:val="32"/>
        </w:rPr>
      </w:pPr>
      <w:r>
        <w:rPr>
          <w:rFonts w:hint="eastAsia" w:ascii="仿宋_GB2312" w:hAnsi="ˎ̥" w:eastAsia="仿宋_GB2312"/>
          <w:sz w:val="32"/>
          <w:szCs w:val="32"/>
        </w:rPr>
        <w:t>十、项目支出：指在基本支出之外为完成特定行政任务和事业发展目标所发生的支出。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十一、经营支出：指事业单位在专业业务活动及其辅助活动之外开展非独立核算经营活动发生的支出。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二、“三公”经费：纳入本级财政预决算管理的“三公”经费，是指本级部门用一般公共预算财政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hAnsi="ˎ̥" w:eastAsia="仿宋_GB2312"/>
          <w:sz w:val="32"/>
          <w:szCs w:val="32"/>
        </w:rPr>
      </w:pPr>
      <w:r>
        <w:rPr>
          <w:rFonts w:hint="eastAsia" w:ascii="仿宋_GB2312" w:hAnsi="ˎ̥"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
    <w:sectPr>
      <w:footerReference r:id="rId3" w:type="default"/>
      <w:footerReference r:id="rId4" w:type="even"/>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ˎ̥">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4547743">
    <w:nsid w:val="616D381F"/>
    <w:multiLevelType w:val="singleLevel"/>
    <w:tmpl w:val="616D381F"/>
    <w:lvl w:ilvl="0" w:tentative="1">
      <w:start w:val="7"/>
      <w:numFmt w:val="chineseCounting"/>
      <w:suff w:val="nothing"/>
      <w:lvlText w:val="%1、"/>
      <w:lvlJc w:val="left"/>
    </w:lvl>
  </w:abstractNum>
  <w:num w:numId="1">
    <w:abstractNumId w:val="16345477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9F83BA0"/>
    <w:rsid w:val="00084092"/>
    <w:rsid w:val="00121688"/>
    <w:rsid w:val="001632C7"/>
    <w:rsid w:val="004E7F39"/>
    <w:rsid w:val="006E0FBF"/>
    <w:rsid w:val="007A36A8"/>
    <w:rsid w:val="008D297D"/>
    <w:rsid w:val="00B130F5"/>
    <w:rsid w:val="00C33492"/>
    <w:rsid w:val="00D61E6C"/>
    <w:rsid w:val="00F436D5"/>
    <w:rsid w:val="015E59AD"/>
    <w:rsid w:val="01683034"/>
    <w:rsid w:val="02251B44"/>
    <w:rsid w:val="023B3F57"/>
    <w:rsid w:val="02A92458"/>
    <w:rsid w:val="03345A30"/>
    <w:rsid w:val="0335707E"/>
    <w:rsid w:val="046E7357"/>
    <w:rsid w:val="04D777E6"/>
    <w:rsid w:val="04FD48FB"/>
    <w:rsid w:val="058E0D8B"/>
    <w:rsid w:val="06412618"/>
    <w:rsid w:val="06A30B2C"/>
    <w:rsid w:val="071F0E00"/>
    <w:rsid w:val="072E4047"/>
    <w:rsid w:val="07771C30"/>
    <w:rsid w:val="07844B31"/>
    <w:rsid w:val="08821190"/>
    <w:rsid w:val="0956786B"/>
    <w:rsid w:val="099B1E6F"/>
    <w:rsid w:val="09EB2E83"/>
    <w:rsid w:val="0A2B0A7B"/>
    <w:rsid w:val="0A386E3F"/>
    <w:rsid w:val="0BDA7C25"/>
    <w:rsid w:val="0BEB1D4A"/>
    <w:rsid w:val="0C9E7F48"/>
    <w:rsid w:val="0CA315A2"/>
    <w:rsid w:val="0CB50A79"/>
    <w:rsid w:val="0CBF316D"/>
    <w:rsid w:val="0D6B3512"/>
    <w:rsid w:val="0D7A0E15"/>
    <w:rsid w:val="0D850FAD"/>
    <w:rsid w:val="0DB56F63"/>
    <w:rsid w:val="0DC37B82"/>
    <w:rsid w:val="0EB809AE"/>
    <w:rsid w:val="0EEF5A71"/>
    <w:rsid w:val="0FA66C6C"/>
    <w:rsid w:val="0FE84FC9"/>
    <w:rsid w:val="10F63E55"/>
    <w:rsid w:val="11507C62"/>
    <w:rsid w:val="125B6F12"/>
    <w:rsid w:val="127D4FC6"/>
    <w:rsid w:val="129C346F"/>
    <w:rsid w:val="13795D00"/>
    <w:rsid w:val="13905664"/>
    <w:rsid w:val="146A5E76"/>
    <w:rsid w:val="147F1E31"/>
    <w:rsid w:val="14880580"/>
    <w:rsid w:val="148C4040"/>
    <w:rsid w:val="14A0168A"/>
    <w:rsid w:val="14A11363"/>
    <w:rsid w:val="14A766F8"/>
    <w:rsid w:val="151A1B28"/>
    <w:rsid w:val="15615ED7"/>
    <w:rsid w:val="16255251"/>
    <w:rsid w:val="16ED7F1F"/>
    <w:rsid w:val="16FC1A17"/>
    <w:rsid w:val="17263B72"/>
    <w:rsid w:val="174D6645"/>
    <w:rsid w:val="18A72AB9"/>
    <w:rsid w:val="1A2A3212"/>
    <w:rsid w:val="1B225516"/>
    <w:rsid w:val="1D36418C"/>
    <w:rsid w:val="1D4629AF"/>
    <w:rsid w:val="1DC47C5A"/>
    <w:rsid w:val="1E22041A"/>
    <w:rsid w:val="1E4577E3"/>
    <w:rsid w:val="1F0B0C30"/>
    <w:rsid w:val="1F1D4392"/>
    <w:rsid w:val="1FB56525"/>
    <w:rsid w:val="21670C12"/>
    <w:rsid w:val="21AF0295"/>
    <w:rsid w:val="22264952"/>
    <w:rsid w:val="222A0FB4"/>
    <w:rsid w:val="224D284F"/>
    <w:rsid w:val="22A34025"/>
    <w:rsid w:val="23A23F48"/>
    <w:rsid w:val="24451096"/>
    <w:rsid w:val="246558A3"/>
    <w:rsid w:val="24863DAA"/>
    <w:rsid w:val="2582205E"/>
    <w:rsid w:val="25E84DC8"/>
    <w:rsid w:val="25EA3794"/>
    <w:rsid w:val="26A529AA"/>
    <w:rsid w:val="27146BA3"/>
    <w:rsid w:val="272B6378"/>
    <w:rsid w:val="27943D0B"/>
    <w:rsid w:val="27D527C0"/>
    <w:rsid w:val="284764C0"/>
    <w:rsid w:val="284E1DBC"/>
    <w:rsid w:val="28604BA7"/>
    <w:rsid w:val="2889666C"/>
    <w:rsid w:val="28910366"/>
    <w:rsid w:val="29194022"/>
    <w:rsid w:val="29F83BA0"/>
    <w:rsid w:val="2A68270B"/>
    <w:rsid w:val="2AFD055B"/>
    <w:rsid w:val="2B3B04DD"/>
    <w:rsid w:val="2B3F6B13"/>
    <w:rsid w:val="2B856BCB"/>
    <w:rsid w:val="2C8409F5"/>
    <w:rsid w:val="2CBE2CDE"/>
    <w:rsid w:val="2E0405C3"/>
    <w:rsid w:val="2E0A0516"/>
    <w:rsid w:val="2E6E1E49"/>
    <w:rsid w:val="2FC815C4"/>
    <w:rsid w:val="300C0980"/>
    <w:rsid w:val="301D0D98"/>
    <w:rsid w:val="322F0252"/>
    <w:rsid w:val="324038EE"/>
    <w:rsid w:val="32523CA7"/>
    <w:rsid w:val="325F6549"/>
    <w:rsid w:val="33775CF1"/>
    <w:rsid w:val="338B563B"/>
    <w:rsid w:val="3397170A"/>
    <w:rsid w:val="33C105E5"/>
    <w:rsid w:val="33DE0149"/>
    <w:rsid w:val="34D02AB6"/>
    <w:rsid w:val="357F72A3"/>
    <w:rsid w:val="35866E71"/>
    <w:rsid w:val="363D4675"/>
    <w:rsid w:val="363F11EE"/>
    <w:rsid w:val="36637A97"/>
    <w:rsid w:val="377D656E"/>
    <w:rsid w:val="37E17485"/>
    <w:rsid w:val="38D65E56"/>
    <w:rsid w:val="39AB5772"/>
    <w:rsid w:val="39AD02B4"/>
    <w:rsid w:val="3A96614C"/>
    <w:rsid w:val="3B2953C2"/>
    <w:rsid w:val="3B9A5CE3"/>
    <w:rsid w:val="3C45386B"/>
    <w:rsid w:val="3D463BEB"/>
    <w:rsid w:val="3E5C7908"/>
    <w:rsid w:val="3F650BC4"/>
    <w:rsid w:val="413A75C1"/>
    <w:rsid w:val="41680565"/>
    <w:rsid w:val="41FC7D40"/>
    <w:rsid w:val="424877CB"/>
    <w:rsid w:val="42585151"/>
    <w:rsid w:val="438E140A"/>
    <w:rsid w:val="444A4BE0"/>
    <w:rsid w:val="44BF6AE1"/>
    <w:rsid w:val="44CA7756"/>
    <w:rsid w:val="45484BD0"/>
    <w:rsid w:val="456F36B8"/>
    <w:rsid w:val="458B2B06"/>
    <w:rsid w:val="45D7507C"/>
    <w:rsid w:val="45E92CEE"/>
    <w:rsid w:val="4646441A"/>
    <w:rsid w:val="466E2E09"/>
    <w:rsid w:val="46EE2F5C"/>
    <w:rsid w:val="473D58EE"/>
    <w:rsid w:val="47791ECF"/>
    <w:rsid w:val="47A34BEF"/>
    <w:rsid w:val="47BD34A5"/>
    <w:rsid w:val="49732D2C"/>
    <w:rsid w:val="49A23156"/>
    <w:rsid w:val="4A4618D2"/>
    <w:rsid w:val="4AA17221"/>
    <w:rsid w:val="4B731B29"/>
    <w:rsid w:val="4BCF33F2"/>
    <w:rsid w:val="4C50165C"/>
    <w:rsid w:val="4C642EDF"/>
    <w:rsid w:val="4DA605F6"/>
    <w:rsid w:val="4DB65E94"/>
    <w:rsid w:val="4DC03C43"/>
    <w:rsid w:val="4F315E82"/>
    <w:rsid w:val="4F35648B"/>
    <w:rsid w:val="4F430B59"/>
    <w:rsid w:val="4F576D5A"/>
    <w:rsid w:val="4F5F2D71"/>
    <w:rsid w:val="4F6E03AA"/>
    <w:rsid w:val="4FC03C8B"/>
    <w:rsid w:val="50E74BE1"/>
    <w:rsid w:val="51B16E3A"/>
    <w:rsid w:val="525D1B90"/>
    <w:rsid w:val="53CC7B8D"/>
    <w:rsid w:val="55FF252B"/>
    <w:rsid w:val="565E43CA"/>
    <w:rsid w:val="57076853"/>
    <w:rsid w:val="57147D87"/>
    <w:rsid w:val="571E304C"/>
    <w:rsid w:val="574B792C"/>
    <w:rsid w:val="57B32380"/>
    <w:rsid w:val="57DC7E86"/>
    <w:rsid w:val="580B5040"/>
    <w:rsid w:val="58296775"/>
    <w:rsid w:val="586F0356"/>
    <w:rsid w:val="587431AF"/>
    <w:rsid w:val="587F0230"/>
    <w:rsid w:val="58836D37"/>
    <w:rsid w:val="58B77258"/>
    <w:rsid w:val="5AE81031"/>
    <w:rsid w:val="5B4A1DFE"/>
    <w:rsid w:val="5BC773B5"/>
    <w:rsid w:val="5BE6061E"/>
    <w:rsid w:val="5C833199"/>
    <w:rsid w:val="5CF95FC7"/>
    <w:rsid w:val="5DF563D6"/>
    <w:rsid w:val="5E545B85"/>
    <w:rsid w:val="5E866C3C"/>
    <w:rsid w:val="5FCB40C4"/>
    <w:rsid w:val="60161518"/>
    <w:rsid w:val="606B6163"/>
    <w:rsid w:val="61454F5D"/>
    <w:rsid w:val="61D46779"/>
    <w:rsid w:val="62124B3D"/>
    <w:rsid w:val="626B56B6"/>
    <w:rsid w:val="62797A09"/>
    <w:rsid w:val="63505A5D"/>
    <w:rsid w:val="636B2954"/>
    <w:rsid w:val="63BF01A1"/>
    <w:rsid w:val="641E3035"/>
    <w:rsid w:val="644B0B18"/>
    <w:rsid w:val="64612FEC"/>
    <w:rsid w:val="6461499F"/>
    <w:rsid w:val="64BA662F"/>
    <w:rsid w:val="64E21817"/>
    <w:rsid w:val="653A4090"/>
    <w:rsid w:val="65755BFC"/>
    <w:rsid w:val="65A628D1"/>
    <w:rsid w:val="65D34206"/>
    <w:rsid w:val="664E6E98"/>
    <w:rsid w:val="66594A9C"/>
    <w:rsid w:val="66F8319B"/>
    <w:rsid w:val="671C5A48"/>
    <w:rsid w:val="68312439"/>
    <w:rsid w:val="68382536"/>
    <w:rsid w:val="68CD668B"/>
    <w:rsid w:val="6AC9186A"/>
    <w:rsid w:val="6B2B410E"/>
    <w:rsid w:val="6B692A1D"/>
    <w:rsid w:val="6C0E2EFF"/>
    <w:rsid w:val="6C3C0231"/>
    <w:rsid w:val="6C464EBC"/>
    <w:rsid w:val="6D1F57EC"/>
    <w:rsid w:val="6DB46F6A"/>
    <w:rsid w:val="6DCE5209"/>
    <w:rsid w:val="6DD9138D"/>
    <w:rsid w:val="6F2C13F4"/>
    <w:rsid w:val="6FA85732"/>
    <w:rsid w:val="700F503C"/>
    <w:rsid w:val="7095691D"/>
    <w:rsid w:val="70E50B0D"/>
    <w:rsid w:val="7105496A"/>
    <w:rsid w:val="710671DB"/>
    <w:rsid w:val="717C36EB"/>
    <w:rsid w:val="72D5485B"/>
    <w:rsid w:val="73A67BF1"/>
    <w:rsid w:val="74355279"/>
    <w:rsid w:val="750514E0"/>
    <w:rsid w:val="755D28BA"/>
    <w:rsid w:val="7561034B"/>
    <w:rsid w:val="76981E32"/>
    <w:rsid w:val="77C02B12"/>
    <w:rsid w:val="77D4739C"/>
    <w:rsid w:val="77F44547"/>
    <w:rsid w:val="785742A6"/>
    <w:rsid w:val="78EF1F54"/>
    <w:rsid w:val="791524CF"/>
    <w:rsid w:val="79B14157"/>
    <w:rsid w:val="7A306B40"/>
    <w:rsid w:val="7A8B5DFD"/>
    <w:rsid w:val="7AED424E"/>
    <w:rsid w:val="7BB26984"/>
    <w:rsid w:val="7C282729"/>
    <w:rsid w:val="7C940DEC"/>
    <w:rsid w:val="7CCD6887"/>
    <w:rsid w:val="7CD579D4"/>
    <w:rsid w:val="7CE73DAA"/>
    <w:rsid w:val="7CFB073A"/>
    <w:rsid w:val="7D551E9D"/>
    <w:rsid w:val="7D5A2CB2"/>
    <w:rsid w:val="7D8E5D95"/>
    <w:rsid w:val="7DA2048B"/>
    <w:rsid w:val="7DCD6E02"/>
    <w:rsid w:val="7DE94025"/>
    <w:rsid w:val="7DFA2C03"/>
    <w:rsid w:val="7ED52B8C"/>
    <w:rsid w:val="7F2C647C"/>
    <w:rsid w:val="7F8C5DDE"/>
    <w:rsid w:val="7FAA41AF"/>
    <w:rsid w:val="7FC146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00" w:beforeAutospacing="1" w:after="100" w:afterAutospacing="1" w:line="360" w:lineRule="auto"/>
      <w:outlineLvl w:val="1"/>
    </w:pPr>
    <w:rPr>
      <w:rFonts w:ascii="Arial" w:hAnsi="Arial" w:eastAsia="黑体"/>
      <w:b/>
      <w:bCs/>
      <w:sz w:val="36"/>
      <w:szCs w:val="32"/>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7">
    <w:name w:val="page number"/>
    <w:basedOn w:val="6"/>
    <w:qFormat/>
    <w:uiPriority w:val="0"/>
  </w:style>
  <w:style w:type="paragraph" w:customStyle="1" w:styleId="9">
    <w:name w:val="正文1 Char Char Char"/>
    <w:basedOn w:val="1"/>
    <w:qFormat/>
    <w:uiPriority w:val="0"/>
    <w:pPr>
      <w:spacing w:line="360" w:lineRule="auto"/>
      <w:ind w:firstLine="200" w:firstLineChars="200"/>
    </w:pPr>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2">
    <w:name w:val="页眉 Char"/>
    <w:basedOn w:val="6"/>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4471</Words>
  <Characters>1547</Characters>
  <Lines>12</Lines>
  <Paragraphs>12</Paragraphs>
  <TotalTime>0</TotalTime>
  <ScaleCrop>false</ScaleCrop>
  <LinksUpToDate>false</LinksUpToDate>
  <CharactersWithSpaces>6006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2019-10-23T09:14:00Z</dcterms:created>
  <dc:creator>管理员</dc:creator>
  <cp:lastModifiedBy>Administrator</cp:lastModifiedBy>
  <cp:lastPrinted>2021-10-18T08:24:00Z</cp:lastPrinted>
  <dcterms:modified xsi:type="dcterms:W3CDTF">2023-09-25T08:58:53Z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