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sz w:val="30"/>
          <w:szCs w:val="30"/>
        </w:rPr>
      </w:pPr>
    </w:p>
    <w:p>
      <w:pPr>
        <w:jc w:val="center"/>
        <w:rPr>
          <w:rFonts w:hint="eastAsia" w:ascii="黑体" w:hAnsi="ˎ̥" w:eastAsia="黑体"/>
          <w:sz w:val="44"/>
          <w:szCs w:val="44"/>
          <w:lang w:eastAsia="zh-CN"/>
        </w:rPr>
      </w:pPr>
      <w:r>
        <w:rPr>
          <w:rFonts w:hint="eastAsia" w:ascii="黑体" w:hAnsi="ˎ̥" w:eastAsia="黑体"/>
          <w:sz w:val="44"/>
          <w:szCs w:val="44"/>
        </w:rPr>
        <w:t>三亚市天涯</w:t>
      </w:r>
      <w:r>
        <w:rPr>
          <w:rFonts w:hint="eastAsia" w:ascii="黑体" w:hAnsi="ˎ̥" w:eastAsia="黑体"/>
          <w:sz w:val="44"/>
          <w:szCs w:val="44"/>
          <w:lang w:eastAsia="zh-CN"/>
        </w:rPr>
        <w:t>区马岭大社区综合服务中心</w:t>
      </w:r>
    </w:p>
    <w:p>
      <w:pPr>
        <w:jc w:val="center"/>
        <w:rPr>
          <w:rFonts w:hint="eastAsia" w:ascii="黑体" w:hAnsi="ˎ̥" w:eastAsia="黑体"/>
          <w:sz w:val="44"/>
          <w:szCs w:val="44"/>
        </w:rPr>
      </w:pPr>
      <w:r>
        <w:rPr>
          <w:rFonts w:hint="eastAsia" w:ascii="黑体" w:hAnsi="ˎ̥" w:eastAsia="黑体"/>
          <w:sz w:val="44"/>
          <w:szCs w:val="44"/>
          <w:lang w:val="en-US" w:eastAsia="zh-CN"/>
        </w:rPr>
        <w:t>2022</w:t>
      </w:r>
      <w:r>
        <w:rPr>
          <w:rFonts w:hint="eastAsia" w:ascii="黑体" w:hAnsi="ˎ̥" w:eastAsia="黑体"/>
          <w:sz w:val="44"/>
          <w:szCs w:val="44"/>
        </w:rPr>
        <w:t>年度</w:t>
      </w:r>
      <w:r>
        <w:rPr>
          <w:rFonts w:hint="eastAsia" w:ascii="黑体" w:hAnsi="ˎ̥" w:eastAsia="黑体"/>
          <w:sz w:val="44"/>
          <w:szCs w:val="44"/>
          <w:lang w:val="en-US" w:eastAsia="zh-CN"/>
        </w:rPr>
        <w:t>部门</w:t>
      </w:r>
      <w:r>
        <w:rPr>
          <w:rFonts w:hint="eastAsia" w:ascii="黑体" w:hAnsi="ˎ̥" w:eastAsia="黑体"/>
          <w:sz w:val="44"/>
          <w:szCs w:val="44"/>
        </w:rPr>
        <w:t>决算</w:t>
      </w:r>
      <w:r>
        <w:rPr>
          <w:rFonts w:hint="eastAsia" w:ascii="黑体" w:hAnsi="ˎ̥" w:eastAsia="黑体"/>
          <w:sz w:val="44"/>
          <w:szCs w:val="44"/>
          <w:lang w:eastAsia="zh-CN"/>
        </w:rPr>
        <w:t>公开说明</w:t>
      </w:r>
    </w:p>
    <w:p>
      <w:pPr>
        <w:jc w:val="center"/>
        <w:rPr>
          <w:rFonts w:hint="eastAsia" w:ascii="黑体" w:hAnsi="ˎ̥" w:eastAsia="黑体"/>
          <w:b/>
          <w:sz w:val="32"/>
          <w:szCs w:val="32"/>
        </w:rPr>
      </w:pPr>
    </w:p>
    <w:p>
      <w:pPr>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9"/>
        <w:tabs>
          <w:tab w:val="right" w:leader="dot" w:pos="8306"/>
        </w:tabs>
        <w:rPr>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lang w:eastAsia="zh-CN"/>
        </w:rPr>
        <w:t>第一部分</w:t>
      </w:r>
      <w:r>
        <w:rPr>
          <w:rFonts w:hint="eastAsia" w:ascii="黑体" w:hAnsi="ˎ̥" w:eastAsia="黑体"/>
          <w:sz w:val="32"/>
          <w:szCs w:val="32"/>
          <w:lang w:val="en-US" w:eastAsia="zh-CN"/>
        </w:rPr>
        <w:t xml:space="preserve">  天涯区马岭大社区综合服务中心部门概况</w:t>
      </w:r>
      <w:r>
        <w:rPr>
          <w:sz w:val="32"/>
          <w:szCs w:val="32"/>
        </w:rPr>
        <w:tab/>
      </w:r>
      <w:r>
        <w:rPr>
          <w:rFonts w:hint="eastAsia" w:ascii="黑体" w:hAnsi="黑体" w:eastAsia="黑体" w:cs="黑体"/>
          <w:sz w:val="32"/>
          <w:szCs w:val="32"/>
          <w:lang w:val="en-US" w:eastAsia="zh-CN"/>
        </w:rPr>
        <w:t>3</w:t>
      </w:r>
      <w:r>
        <w:rPr>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rPr>
        <w:t>部门职责</w:t>
      </w:r>
      <w:r>
        <w:rPr>
          <w:rFonts w:hint="eastAsia" w:ascii="仿宋" w:hAnsi="仿宋" w:eastAsia="仿宋" w:cs="仿宋"/>
          <w:sz w:val="32"/>
          <w:szCs w:val="32"/>
        </w:rPr>
        <w:tab/>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机构设置</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9"/>
        <w:tabs>
          <w:tab w:val="right" w:leader="dot" w:pos="8306"/>
        </w:tabs>
        <w:rPr>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lang w:eastAsia="zh-CN"/>
        </w:rPr>
        <w:t>第二部分</w:t>
      </w:r>
      <w:r>
        <w:rPr>
          <w:rFonts w:hint="eastAsia" w:ascii="黑体" w:hAnsi="ˎ̥" w:eastAsia="黑体"/>
          <w:sz w:val="32"/>
          <w:szCs w:val="32"/>
          <w:lang w:val="en-US" w:eastAsia="zh-CN"/>
        </w:rPr>
        <w:t xml:space="preserve">  天涯区马岭大社区综合服务中心部门2022</w:t>
      </w:r>
      <w:r>
        <w:rPr>
          <w:rFonts w:hint="eastAsia" w:ascii="黑体" w:hAnsi="ˎ̥" w:eastAsia="黑体"/>
          <w:sz w:val="32"/>
          <w:szCs w:val="32"/>
        </w:rPr>
        <w:t>年度</w:t>
      </w:r>
      <w:r>
        <w:rPr>
          <w:rFonts w:hint="eastAsia" w:ascii="黑体" w:hAnsi="ˎ̥" w:eastAsia="黑体"/>
          <w:sz w:val="32"/>
          <w:szCs w:val="32"/>
          <w:lang w:val="en-US" w:eastAsia="zh-CN"/>
        </w:rPr>
        <w:t>部门</w:t>
      </w:r>
      <w:r>
        <w:rPr>
          <w:rFonts w:hint="eastAsia" w:ascii="黑体" w:hAnsi="ˎ̥" w:eastAsia="黑体"/>
          <w:sz w:val="32"/>
          <w:szCs w:val="32"/>
        </w:rPr>
        <w:t>决算</w:t>
      </w:r>
      <w:r>
        <w:rPr>
          <w:rFonts w:hint="eastAsia" w:ascii="黑体" w:hAnsi="ˎ̥" w:eastAsia="黑体"/>
          <w:sz w:val="32"/>
          <w:szCs w:val="32"/>
          <w:lang w:eastAsia="zh-CN"/>
        </w:rPr>
        <w:t>公开</w:t>
      </w:r>
      <w:r>
        <w:rPr>
          <w:rFonts w:hint="eastAsia" w:ascii="黑体" w:hAnsi="ˎ̥" w:eastAsia="黑体"/>
          <w:sz w:val="32"/>
          <w:szCs w:val="32"/>
        </w:rPr>
        <w:t>表</w:t>
      </w:r>
      <w:r>
        <w:rPr>
          <w:sz w:val="32"/>
          <w:szCs w:val="32"/>
        </w:rPr>
        <w:tab/>
      </w:r>
      <w:r>
        <w:rPr>
          <w:rFonts w:hint="eastAsia" w:ascii="黑体" w:hAnsi="黑体" w:eastAsia="黑体" w:cs="黑体"/>
          <w:sz w:val="32"/>
          <w:szCs w:val="32"/>
          <w:lang w:val="en-US" w:eastAsia="zh-CN"/>
        </w:rPr>
        <w:t>4</w:t>
      </w:r>
      <w:r>
        <w:rPr>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_Toc11518_WPSOffice_Level2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rPr>
        <w:t>收入支出决算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_Toc28622_WPSOffice_Level2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收入决算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_Toc5489_WPSOffice_Level2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w:t>
      </w:r>
      <w:r>
        <w:rPr>
          <w:rFonts w:hint="eastAsia" w:ascii="仿宋" w:hAnsi="仿宋" w:eastAsia="仿宋" w:cs="仿宋"/>
          <w:sz w:val="32"/>
          <w:szCs w:val="32"/>
        </w:rPr>
        <w:t>支出决算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_Toc23493_WPSOffice_Level2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w:t>
      </w:r>
      <w:r>
        <w:rPr>
          <w:rFonts w:hint="eastAsia" w:ascii="仿宋" w:hAnsi="仿宋" w:eastAsia="仿宋" w:cs="仿宋"/>
          <w:sz w:val="32"/>
          <w:szCs w:val="32"/>
        </w:rPr>
        <w:t xml:space="preserve"> 财政拨款收入支出决算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_Toc7879_WPSOffice_Level2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w:t>
      </w:r>
      <w:r>
        <w:rPr>
          <w:rFonts w:hint="eastAsia" w:ascii="仿宋" w:hAnsi="仿宋" w:eastAsia="仿宋" w:cs="仿宋"/>
          <w:sz w:val="32"/>
          <w:szCs w:val="32"/>
        </w:rPr>
        <w:t>一般公共预算财政拨款收入支出决算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_Toc8373_WPSOffice_Level2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w:t>
      </w:r>
      <w:r>
        <w:rPr>
          <w:rFonts w:hint="eastAsia" w:ascii="仿宋" w:hAnsi="仿宋" w:eastAsia="仿宋" w:cs="仿宋"/>
          <w:sz w:val="32"/>
          <w:szCs w:val="32"/>
        </w:rPr>
        <w:t>一般公共预算财政拨款基本支出决算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七、</w:t>
      </w:r>
      <w:r>
        <w:rPr>
          <w:rFonts w:hint="eastAsia" w:ascii="仿宋" w:hAnsi="仿宋" w:eastAsia="仿宋" w:cs="仿宋"/>
          <w:sz w:val="32"/>
          <w:szCs w:val="32"/>
        </w:rPr>
        <w:t>政府性基金预算财政拨款收入支出决算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八、国有资本经营</w:t>
      </w:r>
      <w:r>
        <w:rPr>
          <w:rFonts w:hint="eastAsia" w:ascii="仿宋" w:hAnsi="仿宋" w:eastAsia="仿宋" w:cs="仿宋"/>
          <w:sz w:val="32"/>
          <w:szCs w:val="32"/>
        </w:rPr>
        <w:t>预算财政拨款收入支出决算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九、</w:t>
      </w:r>
      <w:r>
        <w:rPr>
          <w:rFonts w:hint="eastAsia" w:ascii="仿宋" w:hAnsi="仿宋" w:eastAsia="仿宋" w:cs="仿宋"/>
          <w:sz w:val="32"/>
          <w:szCs w:val="32"/>
        </w:rPr>
        <w:t>一般公共预算财政拨款“三公”经费支出决算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十、政府性基金</w:t>
      </w:r>
      <w:r>
        <w:rPr>
          <w:rFonts w:hint="eastAsia" w:ascii="仿宋" w:hAnsi="仿宋" w:eastAsia="仿宋" w:cs="仿宋"/>
          <w:sz w:val="32"/>
          <w:szCs w:val="32"/>
        </w:rPr>
        <w:t>预算财政拨款“三公”经费支出决算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5</w:t>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lang w:eastAsia="zh-CN"/>
        </w:rPr>
        <w:t>十一、国有资本经营</w:t>
      </w:r>
      <w:r>
        <w:rPr>
          <w:rFonts w:hint="eastAsia" w:ascii="仿宋" w:hAnsi="仿宋" w:eastAsia="仿宋" w:cs="仿宋"/>
          <w:sz w:val="32"/>
          <w:szCs w:val="32"/>
        </w:rPr>
        <w:t>预算财政拨款“三公”经费支出决算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lang w:val="en-US" w:eastAsia="zh-CN"/>
        </w:rPr>
        <w:t>5</w:t>
      </w:r>
    </w:p>
    <w:p>
      <w:pPr>
        <w:pStyle w:val="9"/>
        <w:tabs>
          <w:tab w:val="right" w:leader="dot" w:pos="8306"/>
        </w:tabs>
        <w:rPr>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lang w:eastAsia="zh-CN"/>
        </w:rPr>
        <w:t>第三部分</w:t>
      </w:r>
      <w:r>
        <w:rPr>
          <w:rFonts w:hint="eastAsia"/>
          <w:sz w:val="32"/>
          <w:szCs w:val="32"/>
          <w:lang w:val="en-US" w:eastAsia="zh-CN"/>
        </w:rPr>
        <w:t xml:space="preserve">  </w:t>
      </w:r>
      <w:r>
        <w:rPr>
          <w:rFonts w:hint="eastAsia" w:ascii="黑体" w:hAnsi="ˎ̥" w:eastAsia="黑体"/>
          <w:sz w:val="32"/>
          <w:szCs w:val="32"/>
          <w:lang w:val="en-US" w:eastAsia="zh-CN"/>
        </w:rPr>
        <w:t>天涯区马岭大社区综合服务中心部门2022</w:t>
      </w:r>
      <w:r>
        <w:rPr>
          <w:rFonts w:hint="eastAsia" w:ascii="黑体" w:hAnsi="ˎ̥" w:eastAsia="黑体"/>
          <w:sz w:val="32"/>
          <w:szCs w:val="32"/>
        </w:rPr>
        <w:t>年度</w:t>
      </w:r>
      <w:r>
        <w:rPr>
          <w:rFonts w:hint="eastAsia" w:ascii="黑体" w:hAnsi="ˎ̥" w:eastAsia="黑体"/>
          <w:sz w:val="32"/>
          <w:szCs w:val="32"/>
          <w:lang w:val="en-US" w:eastAsia="zh-CN"/>
        </w:rPr>
        <w:t>部门</w:t>
      </w:r>
      <w:r>
        <w:rPr>
          <w:rFonts w:hint="eastAsia" w:ascii="黑体" w:hAnsi="ˎ̥" w:eastAsia="黑体"/>
          <w:sz w:val="32"/>
          <w:szCs w:val="32"/>
        </w:rPr>
        <w:t>决算情况说明</w:t>
      </w:r>
      <w:r>
        <w:rPr>
          <w:rFonts w:hint="eastAsia" w:ascii="仿宋" w:hAnsi="仿宋" w:eastAsia="仿宋" w:cs="仿宋"/>
          <w:sz w:val="32"/>
          <w:szCs w:val="32"/>
        </w:rPr>
        <w:tab/>
      </w:r>
      <w:r>
        <w:rPr>
          <w:sz w:val="32"/>
          <w:szCs w:val="32"/>
        </w:rPr>
        <w:fldChar w:fldCharType="end"/>
      </w:r>
      <w:r>
        <w:rPr>
          <w:rFonts w:hint="eastAsia" w:ascii="黑体" w:hAnsi="黑体" w:eastAsia="黑体" w:cs="黑体"/>
          <w:b w:val="0"/>
          <w:bCs w:val="0"/>
          <w:sz w:val="32"/>
          <w:szCs w:val="32"/>
          <w:lang w:val="en-US" w:eastAsia="zh-CN"/>
        </w:rPr>
        <w:t>6</w:t>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一、</w:t>
      </w:r>
      <w:r>
        <w:rPr>
          <w:rFonts w:hint="eastAsia" w:ascii="仿宋" w:hAnsi="仿宋" w:eastAsia="仿宋" w:cs="仿宋"/>
          <w:bCs/>
          <w:sz w:val="32"/>
          <w:szCs w:val="32"/>
        </w:rPr>
        <w:t>收入支出决算总体情况说明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二、</w:t>
      </w:r>
      <w:r>
        <w:rPr>
          <w:rFonts w:hint="eastAsia" w:ascii="仿宋" w:hAnsi="仿宋" w:eastAsia="仿宋" w:cs="仿宋"/>
          <w:bCs/>
          <w:sz w:val="32"/>
          <w:szCs w:val="32"/>
        </w:rPr>
        <w:t>收入决算情况说明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三、</w:t>
      </w:r>
      <w:r>
        <w:rPr>
          <w:rFonts w:hint="eastAsia" w:ascii="仿宋" w:hAnsi="仿宋" w:eastAsia="仿宋" w:cs="仿宋"/>
          <w:bCs/>
          <w:sz w:val="32"/>
          <w:szCs w:val="32"/>
          <w:lang w:val="en-US" w:eastAsia="zh-CN"/>
        </w:rPr>
        <w:t>支出</w:t>
      </w:r>
      <w:r>
        <w:rPr>
          <w:rFonts w:hint="eastAsia" w:ascii="仿宋" w:hAnsi="仿宋" w:eastAsia="仿宋" w:cs="仿宋"/>
          <w:bCs/>
          <w:sz w:val="32"/>
          <w:szCs w:val="32"/>
        </w:rPr>
        <w:t>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lang w:val="en-US" w:eastAsia="zh-CN"/>
        </w:rPr>
        <w:t>四</w:t>
      </w:r>
      <w:r>
        <w:rPr>
          <w:rFonts w:hint="eastAsia" w:ascii="仿宋" w:hAnsi="仿宋" w:eastAsia="仿宋" w:cs="仿宋"/>
          <w:bCs/>
          <w:sz w:val="32"/>
          <w:szCs w:val="32"/>
          <w:lang w:eastAsia="zh-CN"/>
        </w:rPr>
        <w:t>、</w:t>
      </w:r>
      <w:r>
        <w:rPr>
          <w:rFonts w:hint="eastAsia" w:ascii="仿宋" w:hAnsi="仿宋" w:eastAsia="仿宋" w:cs="仿宋"/>
          <w:bCs/>
          <w:sz w:val="32"/>
          <w:szCs w:val="32"/>
        </w:rPr>
        <w:t>财政拨款收入支出决算情况说明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w:t>
      </w:r>
      <w:r>
        <w:rPr>
          <w:rFonts w:hint="eastAsia" w:ascii="仿宋" w:hAnsi="仿宋" w:eastAsia="仿宋" w:cs="仿宋"/>
          <w:bCs/>
          <w:sz w:val="32"/>
          <w:szCs w:val="32"/>
          <w:lang w:eastAsia="zh-CN"/>
        </w:rPr>
        <w:t>、</w:t>
      </w:r>
      <w:r>
        <w:rPr>
          <w:rFonts w:hint="eastAsia" w:ascii="仿宋" w:hAnsi="仿宋" w:eastAsia="仿宋" w:cs="仿宋"/>
          <w:bCs/>
          <w:sz w:val="32"/>
          <w:szCs w:val="32"/>
        </w:rPr>
        <w:t>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w:t>
      </w:r>
      <w:r>
        <w:rPr>
          <w:rFonts w:hint="eastAsia" w:ascii="仿宋" w:hAnsi="仿宋" w:eastAsia="仿宋" w:cs="仿宋"/>
          <w:bCs/>
          <w:sz w:val="32"/>
          <w:szCs w:val="32"/>
          <w:lang w:eastAsia="zh-CN"/>
        </w:rPr>
        <w:t>、</w:t>
      </w:r>
      <w:r>
        <w:rPr>
          <w:rFonts w:hint="eastAsia" w:ascii="仿宋" w:hAnsi="仿宋" w:eastAsia="仿宋" w:cs="仿宋"/>
          <w:bCs/>
          <w:sz w:val="32"/>
          <w:szCs w:val="32"/>
        </w:rPr>
        <w:t>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8</w:t>
      </w:r>
    </w:p>
    <w:p>
      <w:pPr>
        <w:pStyle w:val="10"/>
        <w:numPr>
          <w:ilvl w:val="0"/>
          <w:numId w:val="1"/>
        </w:numPr>
        <w:tabs>
          <w:tab w:val="right" w:leader="dot" w:pos="8306"/>
        </w:tabs>
        <w:ind w:leftChars="0"/>
        <w:rPr>
          <w:rFonts w:hint="eastAsia" w:ascii="仿宋" w:hAnsi="仿宋" w:eastAsia="仿宋" w:cs="仿宋"/>
          <w:sz w:val="32"/>
          <w:szCs w:val="32"/>
          <w:lang w:val="en-US" w:eastAsia="zh-CN"/>
        </w:rPr>
      </w:pPr>
      <w:r>
        <w:rPr>
          <w:rFonts w:hint="eastAsia" w:ascii="仿宋" w:hAnsi="仿宋" w:eastAsia="仿宋" w:cs="仿宋"/>
          <w:bCs/>
          <w:sz w:val="32"/>
          <w:szCs w:val="32"/>
          <w:lang w:eastAsia="zh-CN"/>
        </w:rPr>
        <w:t>政府性基金</w:t>
      </w:r>
      <w:r>
        <w:rPr>
          <w:rFonts w:hint="eastAsia" w:ascii="仿宋" w:hAnsi="仿宋" w:eastAsia="仿宋" w:cs="仿宋"/>
          <w:bCs/>
          <w:sz w:val="32"/>
          <w:szCs w:val="32"/>
        </w:rPr>
        <w:t>预算财政拨款</w:t>
      </w:r>
      <w:r>
        <w:rPr>
          <w:rFonts w:hint="eastAsia" w:ascii="仿宋" w:hAnsi="仿宋" w:eastAsia="仿宋" w:cs="仿宋"/>
          <w:bCs/>
          <w:sz w:val="32"/>
          <w:szCs w:val="32"/>
          <w:lang w:eastAsia="zh-CN"/>
        </w:rPr>
        <w:t>收入</w:t>
      </w:r>
      <w:r>
        <w:rPr>
          <w:rFonts w:hint="eastAsia" w:ascii="仿宋" w:hAnsi="仿宋" w:eastAsia="仿宋" w:cs="仿宋"/>
          <w:bCs/>
          <w:sz w:val="32"/>
          <w:szCs w:val="32"/>
        </w:rPr>
        <w:t>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8</w:t>
      </w:r>
    </w:p>
    <w:p>
      <w:pPr>
        <w:pStyle w:val="10"/>
        <w:numPr>
          <w:ilvl w:val="0"/>
          <w:numId w:val="1"/>
        </w:numPr>
        <w:tabs>
          <w:tab w:val="right" w:leader="dot" w:pos="8306"/>
        </w:tabs>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8</w:t>
      </w:r>
    </w:p>
    <w:p>
      <w:pPr>
        <w:rPr>
          <w:rFonts w:hint="eastAsia" w:ascii="仿宋" w:hAnsi="仿宋" w:eastAsia="仿宋" w:cs="仿宋"/>
          <w:w w:val="98"/>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九</w:t>
      </w:r>
      <w:r>
        <w:rPr>
          <w:rFonts w:hint="eastAsia" w:ascii="仿宋" w:hAnsi="仿宋" w:eastAsia="仿宋" w:cs="仿宋"/>
          <w:bCs/>
          <w:sz w:val="32"/>
          <w:szCs w:val="32"/>
        </w:rPr>
        <w:t>、</w:t>
      </w:r>
      <w:r>
        <w:rPr>
          <w:rFonts w:hint="eastAsia" w:ascii="仿宋" w:hAnsi="仿宋" w:eastAsia="仿宋" w:cs="仿宋"/>
          <w:bCs/>
          <w:w w:val="98"/>
          <w:sz w:val="32"/>
          <w:szCs w:val="32"/>
        </w:rPr>
        <w:t>一般公共预算财政拨款“三公”经费支出决算情况说明</w:t>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lang w:val="en-US" w:eastAsia="zh-CN"/>
        </w:rPr>
        <w:t>9</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p>
    <w:p>
      <w:pPr>
        <w:rPr>
          <w:rFonts w:hint="eastAsia" w:ascii="仿宋" w:hAnsi="仿宋" w:eastAsia="仿宋" w:cs="仿宋"/>
          <w:w w:val="98"/>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w:t>
      </w:r>
      <w:r>
        <w:rPr>
          <w:rFonts w:hint="eastAsia" w:ascii="仿宋" w:hAnsi="仿宋" w:eastAsia="仿宋" w:cs="仿宋"/>
          <w:bCs/>
          <w:sz w:val="32"/>
          <w:szCs w:val="32"/>
        </w:rPr>
        <w:t>、</w:t>
      </w:r>
      <w:r>
        <w:rPr>
          <w:rFonts w:hint="eastAsia" w:ascii="仿宋" w:hAnsi="仿宋" w:eastAsia="仿宋" w:cs="仿宋"/>
          <w:bCs/>
          <w:w w:val="98"/>
          <w:sz w:val="32"/>
          <w:szCs w:val="32"/>
        </w:rPr>
        <w:t>政府性基金预算财政拨款“三公”经费支出决算情况说明</w:t>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0</w:t>
      </w:r>
    </w:p>
    <w:p>
      <w:pPr>
        <w:pStyle w:val="10"/>
        <w:tabs>
          <w:tab w:val="right" w:leader="dot" w:pos="8306"/>
        </w:tabs>
        <w:ind w:leftChars="0"/>
        <w:rPr>
          <w:rFonts w:hint="eastAsia" w:ascii="仿宋" w:hAnsi="仿宋" w:eastAsia="仿宋" w:cs="仿宋"/>
          <w:bCs/>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lang w:val="en-US" w:eastAsia="zh-CN"/>
        </w:rPr>
        <w:t>十一</w:t>
      </w:r>
      <w:r>
        <w:rPr>
          <w:rFonts w:hint="eastAsia" w:ascii="仿宋" w:hAnsi="仿宋" w:eastAsia="仿宋" w:cs="仿宋"/>
          <w:bCs/>
          <w:sz w:val="32"/>
          <w:szCs w:val="32"/>
          <w:lang w:eastAsia="zh-CN"/>
        </w:rPr>
        <w:t>、国有资本经营预算财政拨款</w:t>
      </w:r>
      <w:r>
        <w:rPr>
          <w:rFonts w:hint="eastAsia" w:ascii="仿宋" w:hAnsi="仿宋" w:eastAsia="仿宋" w:cs="仿宋"/>
          <w:bCs/>
          <w:w w:val="98"/>
          <w:sz w:val="32"/>
          <w:szCs w:val="32"/>
        </w:rPr>
        <w:t>“三公”经费支出决算情况说明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10</w:t>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bCs/>
          <w:sz w:val="32"/>
          <w:szCs w:val="32"/>
          <w:lang w:eastAsia="zh-CN"/>
        </w:rPr>
        <w:t>十二、</w:t>
      </w:r>
      <w:r>
        <w:rPr>
          <w:rFonts w:hint="eastAsia" w:ascii="仿宋" w:hAnsi="仿宋" w:eastAsia="仿宋" w:cs="仿宋"/>
          <w:bCs/>
          <w:sz w:val="32"/>
          <w:szCs w:val="32"/>
        </w:rPr>
        <w:t>预算绩效情况说明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0</w:t>
      </w:r>
    </w:p>
    <w:p>
      <w:pPr>
        <w:pStyle w:val="10"/>
        <w:tabs>
          <w:tab w:val="right" w:leader="dot" w:pos="8306"/>
        </w:tabs>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lang w:val="en-US" w:eastAsia="zh-CN"/>
        </w:rPr>
        <w:t>十三</w:t>
      </w:r>
      <w:r>
        <w:rPr>
          <w:rFonts w:hint="eastAsia" w:ascii="仿宋" w:hAnsi="仿宋" w:eastAsia="仿宋" w:cs="仿宋"/>
          <w:bCs/>
          <w:sz w:val="32"/>
          <w:szCs w:val="32"/>
          <w:lang w:eastAsia="zh-CN"/>
        </w:rPr>
        <w:t>、</w:t>
      </w:r>
      <w:r>
        <w:rPr>
          <w:rFonts w:hint="eastAsia" w:ascii="仿宋" w:hAnsi="仿宋" w:eastAsia="仿宋" w:cs="仿宋"/>
          <w:bCs/>
          <w:sz w:val="32"/>
          <w:szCs w:val="32"/>
        </w:rPr>
        <w:t>其他重要事项情况说明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11</w:t>
      </w:r>
    </w:p>
    <w:p>
      <w:pPr>
        <w:pStyle w:val="9"/>
        <w:tabs>
          <w:tab w:val="right" w:leader="dot" w:pos="8306"/>
        </w:tabs>
        <w:rPr>
          <w:rFonts w:hint="eastAsia" w:ascii="黑体" w:hAnsi="ˎ̥" w:eastAsia="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_Toc15425_WPSOffice_Level1 </w:instrText>
      </w:r>
      <w:r>
        <w:rPr>
          <w:rFonts w:hint="eastAsia" w:ascii="黑体" w:hAnsi="黑体" w:eastAsia="黑体" w:cs="黑体"/>
          <w:sz w:val="32"/>
          <w:szCs w:val="32"/>
        </w:rPr>
        <w:fldChar w:fldCharType="separate"/>
      </w:r>
      <w:r>
        <w:rPr>
          <w:rFonts w:hint="eastAsia" w:ascii="黑体" w:hAnsi="黑体" w:eastAsia="黑体" w:cs="黑体"/>
          <w:sz w:val="32"/>
          <w:szCs w:val="32"/>
          <w:lang w:eastAsia="zh-CN"/>
        </w:rPr>
        <w:t>第四部分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名词解释</w:t>
      </w:r>
      <w:r>
        <w:rPr>
          <w:rFonts w:hint="eastAsia" w:ascii="黑体" w:hAnsi="黑体" w:eastAsia="黑体" w:cs="黑体"/>
          <w:sz w:val="32"/>
          <w:szCs w:val="32"/>
        </w:rPr>
        <w:tab/>
      </w:r>
      <w:r>
        <w:rPr>
          <w:rFonts w:hint="eastAsia" w:ascii="黑体" w:hAnsi="黑体" w:eastAsia="黑体" w:cs="黑体"/>
          <w:sz w:val="32"/>
          <w:szCs w:val="32"/>
          <w:lang w:val="en-US" w:eastAsia="zh-CN"/>
        </w:rPr>
        <w:t>1</w:t>
      </w:r>
      <w:r>
        <w:rPr>
          <w:rFonts w:hint="eastAsia" w:ascii="黑体" w:hAnsi="黑体" w:eastAsia="黑体" w:cs="黑体"/>
          <w:sz w:val="32"/>
          <w:szCs w:val="32"/>
        </w:rPr>
        <w:fldChar w:fldCharType="end"/>
      </w:r>
      <w:bookmarkEnd w:id="0"/>
      <w:bookmarkStart w:id="1" w:name="_Toc10049_WPSOffice_Level1"/>
      <w:bookmarkStart w:id="2" w:name="_Toc10720_WPSOffice_Level1"/>
      <w:bookmarkStart w:id="3" w:name="_Toc32433_WPSOffice_Level1"/>
      <w:bookmarkStart w:id="4" w:name="_Toc1704_WPSOffice_Level1"/>
      <w:bookmarkStart w:id="5" w:name="_Toc23465_WPSOffice_Level1"/>
      <w:bookmarkStart w:id="6" w:name="_Toc22941_WPSOffice_Level1"/>
      <w:bookmarkStart w:id="7" w:name="_Toc24238_WPSOffice_Level2"/>
      <w:bookmarkStart w:id="8" w:name="_Toc20274_WPSOffice_Level2"/>
      <w:bookmarkStart w:id="9" w:name="_Toc14159_WPSOffice_Level2"/>
      <w:bookmarkStart w:id="10" w:name="_Toc26580_WPSOffice_Level2"/>
      <w:bookmarkStart w:id="11" w:name="_Toc32622_WPSOffice_Level2"/>
      <w:bookmarkStart w:id="12" w:name="_Toc20205_WPSOffice_Level2"/>
      <w:r>
        <w:rPr>
          <w:rFonts w:hint="eastAsia" w:ascii="黑体" w:hAnsi="黑体" w:eastAsia="黑体" w:cs="黑体"/>
          <w:sz w:val="32"/>
          <w:szCs w:val="32"/>
          <w:lang w:val="en-US" w:eastAsia="zh-CN"/>
        </w:rPr>
        <w:t>2</w:t>
      </w:r>
    </w:p>
    <w:p>
      <w:pPr>
        <w:jc w:val="center"/>
        <w:rPr>
          <w:rFonts w:hint="eastAsia" w:ascii="黑体" w:hAnsi="ˎ̥" w:eastAsia="黑体"/>
          <w:sz w:val="32"/>
          <w:szCs w:val="32"/>
        </w:rPr>
      </w:pPr>
      <w:r>
        <w:rPr>
          <w:rFonts w:hint="eastAsia" w:ascii="黑体" w:hAnsi="ˎ̥" w:eastAsia="黑体"/>
          <w:sz w:val="32"/>
          <w:szCs w:val="32"/>
        </w:rPr>
        <w:t xml:space="preserve">第一部分 </w:t>
      </w:r>
      <w:r>
        <w:rPr>
          <w:rFonts w:hint="eastAsia" w:ascii="黑体" w:hAnsi="ˎ̥" w:eastAsia="黑体"/>
          <w:sz w:val="32"/>
          <w:szCs w:val="32"/>
          <w:lang w:val="en-US" w:eastAsia="zh-CN"/>
        </w:rPr>
        <w:t>天涯区马岭大社区综合服务中心部门</w:t>
      </w:r>
      <w:r>
        <w:rPr>
          <w:rFonts w:hint="eastAsia" w:ascii="黑体" w:hAnsi="ˎ̥" w:eastAsia="黑体"/>
          <w:sz w:val="32"/>
          <w:szCs w:val="32"/>
        </w:rPr>
        <w:t>概况</w:t>
      </w:r>
      <w:bookmarkEnd w:id="1"/>
      <w:bookmarkEnd w:id="2"/>
      <w:bookmarkEnd w:id="3"/>
      <w:bookmarkEnd w:id="4"/>
      <w:bookmarkEnd w:id="5"/>
      <w:bookmarkEnd w:id="6"/>
    </w:p>
    <w:p>
      <w:pPr>
        <w:ind w:firstLine="640" w:firstLineChars="200"/>
        <w:rPr>
          <w:rFonts w:hint="eastAsia" w:ascii="楷体" w:hAnsi="楷体" w:eastAsia="楷体" w:cs="楷体"/>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w:t>
      </w:r>
      <w:bookmarkEnd w:id="7"/>
      <w:r>
        <w:rPr>
          <w:rFonts w:hint="eastAsia" w:ascii="黑体" w:hAnsi="黑体" w:eastAsia="黑体" w:cs="黑体"/>
          <w:sz w:val="32"/>
          <w:szCs w:val="32"/>
          <w:lang w:val="en-US" w:eastAsia="zh-CN"/>
        </w:rPr>
        <w:t>部门</w:t>
      </w:r>
      <w:r>
        <w:rPr>
          <w:rFonts w:hint="eastAsia" w:ascii="黑体" w:hAnsi="黑体" w:eastAsia="黑体" w:cs="黑体"/>
          <w:sz w:val="32"/>
          <w:szCs w:val="32"/>
        </w:rPr>
        <w:t>职责</w:t>
      </w:r>
      <w:bookmarkEnd w:id="8"/>
      <w:bookmarkEnd w:id="9"/>
      <w:bookmarkEnd w:id="10"/>
      <w:bookmarkEnd w:id="11"/>
      <w:bookmarkEnd w:id="12"/>
    </w:p>
    <w:p>
      <w:pPr>
        <w:ind w:firstLine="645"/>
        <w:jc w:val="left"/>
        <w:rPr>
          <w:rFonts w:hint="eastAsia" w:ascii="仿宋" w:hAnsi="仿宋" w:eastAsia="仿宋" w:cs="仿宋"/>
          <w:color w:val="000000"/>
          <w:kern w:val="0"/>
          <w:sz w:val="32"/>
          <w:szCs w:val="32"/>
        </w:rPr>
      </w:pPr>
      <w:r>
        <w:rPr>
          <w:rFonts w:hint="eastAsia" w:ascii="仿宋_GB2312" w:hAnsi="仿宋_GB2312" w:eastAsia="仿宋_GB2312" w:cs="仿宋_GB2312"/>
          <w:sz w:val="32"/>
          <w:szCs w:val="32"/>
        </w:rPr>
        <w:t>依据《中共海南省委办公厅 海南省人民政府办公厅关于印发&lt;海南省推进基层整合审批服务执法力量实施方案&gt;的通知》（琼办发〔2020〕8号）精神，因三亚市没有乡镇和街道建制，由大社区承接办理属于《乡镇和街道公共服务事项清单》中的服务和管理事项</w:t>
      </w:r>
      <w:r>
        <w:rPr>
          <w:rFonts w:hint="eastAsia" w:ascii="仿宋" w:hAnsi="仿宋" w:eastAsia="仿宋" w:cs="仿宋"/>
          <w:color w:val="000000"/>
          <w:kern w:val="0"/>
          <w:sz w:val="32"/>
          <w:szCs w:val="32"/>
        </w:rPr>
        <w:t>。</w:t>
      </w:r>
    </w:p>
    <w:p>
      <w:pPr>
        <w:jc w:val="left"/>
        <w:rPr>
          <w:rFonts w:hint="eastAsia" w:ascii="仿宋" w:hAnsi="仿宋" w:eastAsia="仿宋" w:cs="仿宋"/>
          <w:color w:val="000000"/>
          <w:kern w:val="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承办市、区两级下沉到马岭大社区的党群服务、政务服务、公共治理服务、生活服务、公共法律服务、健康服务、文化服务、劳动就业和社会保障服务、自治共治服务、教育科普服务、居家养老服务、青少年教育服务</w:t>
      </w:r>
      <w:r>
        <w:rPr>
          <w:rFonts w:hint="eastAsia" w:ascii="仿宋_GB2312" w:hAnsi="仿宋_GB2312" w:eastAsia="仿宋_GB2312" w:cs="仿宋_GB2312"/>
          <w:sz w:val="32"/>
          <w:szCs w:val="32"/>
          <w:lang w:eastAsia="zh-CN"/>
        </w:rPr>
        <w:t>、宗教事务服务</w:t>
      </w:r>
      <w:r>
        <w:rPr>
          <w:rFonts w:hint="eastAsia" w:ascii="仿宋_GB2312" w:hAnsi="仿宋_GB2312" w:eastAsia="仿宋_GB2312" w:cs="仿宋_GB2312"/>
          <w:sz w:val="32"/>
          <w:szCs w:val="32"/>
        </w:rPr>
        <w:t>等方面的基层服务及管理功能。</w:t>
      </w:r>
    </w:p>
    <w:p>
      <w:pPr>
        <w:pageBreakBefore w:val="0"/>
        <w:widowControl w:val="0"/>
        <w:kinsoku/>
        <w:wordWrap/>
        <w:overflowPunct/>
        <w:topLinePunct w:val="0"/>
        <w:autoSpaceDE/>
        <w:autoSpaceDN/>
        <w:bidi w:val="0"/>
        <w:adjustRightInd/>
        <w:snapToGrid/>
        <w:spacing w:beforeAutospacing="0" w:afterAutospacing="0" w:line="578"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承接上级党委、</w:t>
      </w:r>
      <w:r>
        <w:rPr>
          <w:rFonts w:hint="eastAsia" w:ascii="仿宋_GB2312" w:hAnsi="仿宋_GB2312" w:eastAsia="仿宋_GB2312" w:cs="仿宋_GB2312"/>
          <w:sz w:val="32"/>
          <w:szCs w:val="32"/>
          <w:lang w:eastAsia="zh-CN"/>
        </w:rPr>
        <w:t>人大、</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、政协</w:t>
      </w:r>
      <w:r>
        <w:rPr>
          <w:rFonts w:hint="eastAsia" w:ascii="仿宋_GB2312" w:hAnsi="仿宋_GB2312" w:eastAsia="仿宋_GB2312" w:cs="仿宋_GB2312"/>
          <w:sz w:val="32"/>
          <w:szCs w:val="32"/>
        </w:rPr>
        <w:t>和有关职能部门授权或委托的各项审批、管理</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；制定马岭大社区服务范围内的各项规章制度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为村、居民提供市、区两级政务审批</w:t>
      </w:r>
      <w:r>
        <w:rPr>
          <w:rFonts w:hint="eastAsia" w:ascii="仿宋_GB2312" w:hAnsi="仿宋_GB2312" w:eastAsia="仿宋_GB2312" w:cs="仿宋_GB2312"/>
          <w:sz w:val="32"/>
          <w:szCs w:val="32"/>
          <w:lang w:eastAsia="zh-CN"/>
        </w:rPr>
        <w:t>事项服务的</w:t>
      </w:r>
      <w:r>
        <w:rPr>
          <w:rFonts w:hint="eastAsia" w:ascii="仿宋_GB2312" w:hAnsi="仿宋_GB2312" w:eastAsia="仿宋_GB2312" w:cs="仿宋_GB2312"/>
          <w:sz w:val="32"/>
          <w:szCs w:val="32"/>
        </w:rPr>
        <w:t>报送等。</w:t>
      </w:r>
    </w:p>
    <w:p>
      <w:pPr>
        <w:pageBreakBefore w:val="0"/>
        <w:kinsoku/>
        <w:wordWrap/>
        <w:overflowPunct/>
        <w:topLinePunct w:val="0"/>
        <w:autoSpaceDE/>
        <w:autoSpaceDN/>
        <w:bidi w:val="0"/>
        <w:adjustRightInd/>
        <w:spacing w:line="578" w:lineRule="exact"/>
        <w:ind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eastAsia="zh-CN"/>
        </w:rPr>
        <w:t>（三）负责“两代表一委员之家”常态化工作，负责召集、协调两代表一委员开展学习、视察、调研工作。协助区人大、政协联络组完成社情民意收集、代表接待日、基层协商民主等相关</w:t>
      </w:r>
      <w:r>
        <w:rPr>
          <w:rFonts w:hint="eastAsia" w:ascii="仿宋_GB2312" w:hAnsi="仿宋_GB2312" w:eastAsia="仿宋_GB2312" w:cs="仿宋_GB2312"/>
          <w:sz w:val="32"/>
          <w:szCs w:val="32"/>
          <w:u w:val="none"/>
          <w:lang w:val="en-US" w:eastAsia="zh-CN"/>
        </w:rPr>
        <w:t>工作</w:t>
      </w:r>
      <w:r>
        <w:rPr>
          <w:rFonts w:hint="eastAsia" w:ascii="仿宋_GB2312" w:hAnsi="仿宋_GB2312" w:eastAsia="仿宋_GB2312" w:cs="仿宋_GB2312"/>
          <w:sz w:val="32"/>
          <w:szCs w:val="32"/>
          <w:u w:val="none"/>
          <w:lang w:eastAsia="zh-CN"/>
        </w:rPr>
        <w:t>。</w:t>
      </w:r>
    </w:p>
    <w:p>
      <w:pPr>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负责协调相关部门编制并组织实施</w:t>
      </w:r>
      <w:r>
        <w:rPr>
          <w:rFonts w:hint="eastAsia" w:ascii="仿宋_GB2312" w:hAnsi="仿宋_GB2312" w:eastAsia="仿宋_GB2312" w:cs="仿宋_GB2312"/>
          <w:sz w:val="32"/>
          <w:szCs w:val="32"/>
          <w:lang w:eastAsia="zh-CN"/>
        </w:rPr>
        <w:t>各机关单位在</w:t>
      </w:r>
      <w:r>
        <w:rPr>
          <w:rFonts w:hint="eastAsia" w:ascii="仿宋_GB2312" w:hAnsi="仿宋_GB2312" w:eastAsia="仿宋_GB2312" w:cs="仿宋_GB2312"/>
          <w:sz w:val="32"/>
          <w:szCs w:val="32"/>
        </w:rPr>
        <w:t>马岭大社区</w:t>
      </w:r>
      <w:r>
        <w:rPr>
          <w:rFonts w:hint="eastAsia" w:ascii="仿宋_GB2312" w:hAnsi="仿宋_GB2312" w:eastAsia="仿宋_GB2312" w:cs="仿宋_GB2312"/>
          <w:sz w:val="32"/>
          <w:szCs w:val="32"/>
          <w:lang w:eastAsia="zh-CN"/>
        </w:rPr>
        <w:t>内的</w:t>
      </w:r>
      <w:r>
        <w:rPr>
          <w:rFonts w:hint="eastAsia" w:ascii="仿宋_GB2312" w:hAnsi="仿宋_GB2312" w:eastAsia="仿宋_GB2312" w:cs="仿宋_GB2312"/>
          <w:sz w:val="32"/>
          <w:szCs w:val="32"/>
        </w:rPr>
        <w:t>总体发展规划、健全</w:t>
      </w:r>
      <w:r>
        <w:rPr>
          <w:rFonts w:hint="eastAsia" w:ascii="仿宋_GB2312" w:hAnsi="仿宋_GB2312" w:eastAsia="仿宋_GB2312" w:cs="仿宋_GB2312"/>
          <w:sz w:val="32"/>
          <w:szCs w:val="32"/>
          <w:lang w:eastAsia="zh-CN"/>
        </w:rPr>
        <w:t>服务职能</w:t>
      </w:r>
      <w:r>
        <w:rPr>
          <w:rFonts w:hint="eastAsia" w:ascii="仿宋_GB2312" w:hAnsi="仿宋_GB2312" w:eastAsia="仿宋_GB2312" w:cs="仿宋_GB2312"/>
          <w:sz w:val="32"/>
          <w:szCs w:val="32"/>
        </w:rPr>
        <w:t>、基层审批事项等。</w:t>
      </w:r>
    </w:p>
    <w:p>
      <w:pPr>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left="0" w:leftChars="0"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（五）宣传党和国家的政策、方针、法律和规定，指导所辖村社区维护村、居民的合法权益；对村社区的党组织选举、党支部规范化建设进行指导，做好基层党建引领。</w:t>
      </w:r>
    </w:p>
    <w:p>
      <w:pPr>
        <w:pageBreakBefore w:val="0"/>
        <w:widowControl w:val="0"/>
        <w:kinsoku/>
        <w:wordWrap/>
        <w:overflowPunct/>
        <w:topLinePunct w:val="0"/>
        <w:autoSpaceDE/>
        <w:autoSpaceDN/>
        <w:bidi w:val="0"/>
        <w:adjustRightInd/>
        <w:snapToGrid/>
        <w:spacing w:beforeAutospacing="0" w:afterAutospacing="0" w:line="578" w:lineRule="exact"/>
        <w:ind w:left="0" w:leftChars="0"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（六）对村、社区主要负责人年终考核做出评价建议。</w:t>
      </w:r>
    </w:p>
    <w:p>
      <w:pPr>
        <w:pageBreakBefore w:val="0"/>
        <w:widowControl w:val="0"/>
        <w:kinsoku/>
        <w:wordWrap/>
        <w:overflowPunct/>
        <w:topLinePunct w:val="0"/>
        <w:autoSpaceDE/>
        <w:autoSpaceDN/>
        <w:bidi w:val="0"/>
        <w:adjustRightInd/>
        <w:snapToGrid/>
        <w:spacing w:beforeAutospacing="0" w:afterAutospacing="0" w:line="578" w:lineRule="exact"/>
        <w:ind w:left="0" w:leftChars="0"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（七）做好管辖范围内的治安维稳、基础建设、人口流动、矛盾纠纷、志愿服务等基础性工作，统筹协调所辖村社区的资源合理配置、合法使用、合规实施。</w:t>
      </w:r>
    </w:p>
    <w:p>
      <w:pPr>
        <w:pageBreakBefore w:val="0"/>
        <w:widowControl w:val="0"/>
        <w:kinsoku/>
        <w:wordWrap/>
        <w:overflowPunct/>
        <w:topLinePunct w:val="0"/>
        <w:autoSpaceDE/>
        <w:autoSpaceDN/>
        <w:bidi w:val="0"/>
        <w:adjustRightInd/>
        <w:snapToGrid/>
        <w:spacing w:beforeAutospacing="0" w:afterAutospacing="0" w:line="578"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加大对所辖村社区的思想教育引领工作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开展丰富多彩的利民益民、有成效有内涵的公益活动，举办与时俱进、弘扬社会主义核心价值观的节日活动，丰富村、居民的精神文明建设</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spacing w:beforeAutospacing="0" w:afterAutospacing="0" w:line="578" w:lineRule="exact"/>
        <w:ind w:left="0" w:leftChars="0"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（九）协助区直机关在本辖区内开展数据收集、上报、汇总、归档和出台实施办法等各项相关工作。</w:t>
      </w:r>
    </w:p>
    <w:p>
      <w:pPr>
        <w:pageBreakBefore w:val="0"/>
        <w:widowControl w:val="0"/>
        <w:kinsoku/>
        <w:wordWrap/>
        <w:overflowPunct/>
        <w:topLinePunct w:val="0"/>
        <w:autoSpaceDE/>
        <w:autoSpaceDN/>
        <w:bidi w:val="0"/>
        <w:adjustRightInd/>
        <w:snapToGrid/>
        <w:spacing w:beforeAutospacing="0" w:afterAutospacing="0" w:line="578" w:lineRule="exact"/>
        <w:ind w:left="0" w:leftChars="0" w:right="0" w:rightChars="0" w:firstLine="0"/>
        <w:jc w:val="both"/>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履行区委、区政府授权赋予的其他职责。</w:t>
      </w:r>
    </w:p>
    <w:p>
      <w:pPr>
        <w:ind w:firstLine="645"/>
        <w:jc w:val="left"/>
        <w:rPr>
          <w:rFonts w:hint="eastAsia" w:ascii="黑体" w:hAnsi="黑体" w:eastAsia="黑体" w:cs="黑体"/>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rPr>
        <w:t>承办区委、区政府和上级</w:t>
      </w:r>
      <w:r>
        <w:rPr>
          <w:rFonts w:hint="eastAsia" w:ascii="仿宋_GB2312" w:hAnsi="仿宋_GB2312" w:eastAsia="仿宋_GB2312" w:cs="仿宋_GB2312"/>
          <w:color w:val="000000"/>
          <w:kern w:val="0"/>
          <w:sz w:val="32"/>
          <w:szCs w:val="32"/>
          <w:lang w:eastAsia="zh-CN"/>
        </w:rPr>
        <w:t>部门</w:t>
      </w:r>
      <w:r>
        <w:rPr>
          <w:rFonts w:hint="eastAsia" w:ascii="仿宋_GB2312" w:hAnsi="仿宋_GB2312" w:eastAsia="仿宋_GB2312" w:cs="仿宋_GB2312"/>
          <w:color w:val="000000"/>
          <w:kern w:val="0"/>
          <w:sz w:val="32"/>
          <w:szCs w:val="32"/>
        </w:rPr>
        <w:t>交办的工作</w:t>
      </w:r>
      <w:r>
        <w:rPr>
          <w:rFonts w:hint="eastAsia" w:ascii="仿宋" w:hAnsi="仿宋" w:eastAsia="仿宋" w:cs="仿宋"/>
          <w:color w:val="000000"/>
          <w:kern w:val="0"/>
          <w:sz w:val="32"/>
          <w:szCs w:val="32"/>
        </w:rPr>
        <w:t>。</w:t>
      </w:r>
    </w:p>
    <w:p>
      <w:pPr>
        <w:ind w:firstLine="640" w:firstLineChars="200"/>
        <w:rPr>
          <w:rFonts w:hint="eastAsia" w:ascii="黑体" w:hAnsi="黑体" w:eastAsia="黑体" w:cs="黑体"/>
          <w:sz w:val="32"/>
          <w:szCs w:val="32"/>
        </w:rPr>
      </w:pPr>
      <w:bookmarkStart w:id="13" w:name="_Toc24474_WPSOffice_Level2"/>
      <w:bookmarkStart w:id="14" w:name="_Toc17796_WPSOffice_Level2"/>
      <w:bookmarkStart w:id="15" w:name="_Toc6572_WPSOffice_Level2"/>
      <w:bookmarkStart w:id="16" w:name="_Toc4833_WPSOffice_Level2"/>
      <w:bookmarkStart w:id="17" w:name="_Toc24059_WPSOffice_Level2"/>
      <w:r>
        <w:rPr>
          <w:rFonts w:hint="eastAsia" w:ascii="黑体" w:hAnsi="黑体" w:eastAsia="黑体" w:cs="黑体"/>
          <w:sz w:val="32"/>
          <w:szCs w:val="32"/>
        </w:rPr>
        <w:t>二、机构设置</w:t>
      </w:r>
      <w:bookmarkEnd w:id="13"/>
      <w:bookmarkEnd w:id="14"/>
      <w:bookmarkEnd w:id="15"/>
      <w:bookmarkEnd w:id="16"/>
      <w:bookmarkEnd w:id="17"/>
    </w:p>
    <w:p>
      <w:pPr>
        <w:numPr>
          <w:ilvl w:val="0"/>
          <w:numId w:val="0"/>
        </w:numPr>
        <w:ind w:firstLine="640" w:firstLineChars="200"/>
        <w:jc w:val="both"/>
        <w:rPr>
          <w:rFonts w:hint="eastAsia" w:ascii="仿宋_GB2312" w:hAnsi="黑体" w:eastAsia="仿宋_GB2312" w:cs="仿宋_GB2312"/>
          <w:b w:val="0"/>
          <w:bCs w:val="0"/>
          <w:color w:val="000000" w:themeColor="text1"/>
          <w:kern w:val="2"/>
          <w:sz w:val="32"/>
          <w:szCs w:val="32"/>
          <w:lang w:val="en-US" w:eastAsia="zh-CN" w:bidi="ar-SA"/>
          <w14:textFill>
            <w14:solidFill>
              <w14:schemeClr w14:val="tx1"/>
            </w14:solidFill>
          </w14:textFill>
        </w:rPr>
      </w:pPr>
      <w:bookmarkStart w:id="18" w:name="_Toc24421_WPSOffice_Level2"/>
      <w:bookmarkStart w:id="19" w:name="_Toc25738_WPSOffice_Level2"/>
      <w:r>
        <w:rPr>
          <w:rFonts w:hint="eastAsia" w:ascii="仿宋_GB2312" w:hAnsi="黑体" w:eastAsia="仿宋_GB2312" w:cs="仿宋_GB2312"/>
          <w:b w:val="0"/>
          <w:bCs w:val="0"/>
          <w:color w:val="000000" w:themeColor="text1"/>
          <w:kern w:val="2"/>
          <w:sz w:val="32"/>
          <w:szCs w:val="32"/>
          <w:lang w:val="en-US" w:eastAsia="zh-CN" w:bidi="ar-SA"/>
          <w14:textFill>
            <w14:solidFill>
              <w14:schemeClr w14:val="tx1"/>
            </w14:solidFill>
          </w14:textFill>
        </w:rPr>
        <w:t>纳入三亚市</w:t>
      </w:r>
      <w:r>
        <w:rPr>
          <w:rFonts w:hint="eastAsia" w:ascii="仿宋_GB2312" w:hAnsi="黑体" w:eastAsia="仿宋_GB2312" w:cs="仿宋_GB2312"/>
          <w:b w:val="0"/>
          <w:bCs w:val="0"/>
          <w:color w:val="000000" w:themeColor="text1"/>
          <w:sz w:val="32"/>
          <w:szCs w:val="32"/>
          <w:lang w:val="en-US" w:eastAsia="zh-CN"/>
          <w14:textFill>
            <w14:solidFill>
              <w14:schemeClr w14:val="tx1"/>
            </w14:solidFill>
          </w14:textFill>
        </w:rPr>
        <w:t>天涯区马岭大社区综合服务中心</w:t>
      </w:r>
      <w:r>
        <w:rPr>
          <w:rFonts w:hint="eastAsia" w:ascii="仿宋_GB2312" w:hAnsi="黑体" w:eastAsia="仿宋_GB2312" w:cs="仿宋_GB2312"/>
          <w:b w:val="0"/>
          <w:bCs w:val="0"/>
          <w:color w:val="000000" w:themeColor="text1"/>
          <w:kern w:val="2"/>
          <w:sz w:val="32"/>
          <w:szCs w:val="32"/>
          <w:lang w:val="en-US" w:eastAsia="zh-CN" w:bidi="ar-SA"/>
          <w14:textFill>
            <w14:solidFill>
              <w14:schemeClr w14:val="tx1"/>
            </w14:solidFill>
          </w14:textFill>
        </w:rPr>
        <w:t>部门</w:t>
      </w:r>
      <w:r>
        <w:rPr>
          <w:rFonts w:hint="eastAsia" w:ascii="仿宋_GB2312" w:hAnsi="黑体" w:eastAsia="仿宋_GB2312" w:cs="仿宋_GB2312"/>
          <w:b w:val="0"/>
          <w:bCs w:val="0"/>
          <w:color w:val="auto"/>
          <w:kern w:val="2"/>
          <w:sz w:val="32"/>
          <w:szCs w:val="32"/>
          <w:lang w:val="en-US" w:eastAsia="zh-CN" w:bidi="ar-SA"/>
        </w:rPr>
        <w:t>2022年</w:t>
      </w:r>
      <w:r>
        <w:rPr>
          <w:rFonts w:hint="eastAsia" w:ascii="仿宋_GB2312" w:hAnsi="黑体" w:eastAsia="仿宋_GB2312" w:cs="仿宋_GB2312"/>
          <w:b w:val="0"/>
          <w:bCs w:val="0"/>
          <w:color w:val="000000" w:themeColor="text1"/>
          <w:kern w:val="2"/>
          <w:sz w:val="32"/>
          <w:szCs w:val="32"/>
          <w:lang w:val="en-US" w:eastAsia="zh-CN" w:bidi="ar-SA"/>
          <w14:textFill>
            <w14:solidFill>
              <w14:schemeClr w14:val="tx1"/>
            </w14:solidFill>
          </w14:textFill>
        </w:rPr>
        <w:t>度部门决算编制范围的为三亚市</w:t>
      </w:r>
      <w:r>
        <w:rPr>
          <w:rFonts w:hint="eastAsia" w:ascii="仿宋_GB2312" w:hAnsi="黑体" w:eastAsia="仿宋_GB2312" w:cs="仿宋_GB2312"/>
          <w:b w:val="0"/>
          <w:bCs w:val="0"/>
          <w:color w:val="000000" w:themeColor="text1"/>
          <w:sz w:val="32"/>
          <w:szCs w:val="32"/>
          <w:lang w:val="en-US" w:eastAsia="zh-CN"/>
          <w14:textFill>
            <w14:solidFill>
              <w14:schemeClr w14:val="tx1"/>
            </w14:solidFill>
          </w14:textFill>
        </w:rPr>
        <w:t>天涯区马岭大社区综合服务中心</w:t>
      </w:r>
      <w:r>
        <w:rPr>
          <w:rFonts w:hint="eastAsia" w:ascii="仿宋_GB2312" w:hAnsi="黑体" w:eastAsia="仿宋_GB2312" w:cs="仿宋_GB2312"/>
          <w:b w:val="0"/>
          <w:bCs w:val="0"/>
          <w:color w:val="000000" w:themeColor="text1"/>
          <w:kern w:val="2"/>
          <w:sz w:val="32"/>
          <w:szCs w:val="32"/>
          <w:lang w:val="en-US" w:eastAsia="zh-CN" w:bidi="ar-SA"/>
          <w14:textFill>
            <w14:solidFill>
              <w14:schemeClr w14:val="tx1"/>
            </w14:solidFill>
          </w14:textFill>
        </w:rPr>
        <w:t>部门本级，没有需纳入决算编制的二级预算单位。根据主要职责，我中心内设综合办公室、社会事务受理服务部、党群工作部、卫生健康服务部、综合治理管理部、文化服务部、社会服务部等七个部门机构。</w:t>
      </w:r>
    </w:p>
    <w:bookmarkEnd w:id="18"/>
    <w:bookmarkEnd w:id="19"/>
    <w:p>
      <w:pPr>
        <w:jc w:val="center"/>
        <w:rPr>
          <w:rFonts w:hint="eastAsia" w:ascii="黑体" w:hAnsi="ˎ̥" w:eastAsia="黑体"/>
          <w:sz w:val="32"/>
          <w:szCs w:val="32"/>
        </w:rPr>
      </w:pPr>
      <w:bookmarkStart w:id="20" w:name="_Toc30451_WPSOffice_Level1"/>
      <w:bookmarkStart w:id="21" w:name="_Toc30690_WPSOffice_Level1"/>
      <w:bookmarkStart w:id="22" w:name="_Toc6234_WPSOffice_Level1"/>
      <w:bookmarkStart w:id="23" w:name="_Toc15521_WPSOffice_Level1"/>
      <w:bookmarkStart w:id="24" w:name="_Toc28253_WPSOffice_Level1"/>
      <w:bookmarkStart w:id="25" w:name="_Toc8164_WPSOffice_Level1"/>
      <w:bookmarkStart w:id="26" w:name="_Toc6211_WPSOffice_Level2"/>
      <w:bookmarkStart w:id="27" w:name="_Toc32695_WPSOffice_Level2"/>
      <w:bookmarkStart w:id="28" w:name="_Toc8867_WPSOffice_Level2"/>
      <w:bookmarkStart w:id="29" w:name="_Toc4029_WPSOffice_Level2"/>
      <w:bookmarkStart w:id="30" w:name="_Toc11518_WPSOffice_Level2"/>
      <w:bookmarkStart w:id="31" w:name="_Toc32472_WPSOffice_Level2"/>
      <w:r>
        <w:rPr>
          <w:rFonts w:hint="eastAsia" w:ascii="黑体" w:hAnsi="ˎ̥" w:eastAsia="黑体"/>
          <w:sz w:val="32"/>
          <w:szCs w:val="32"/>
        </w:rPr>
        <w:t xml:space="preserve">第二部分  </w:t>
      </w:r>
      <w:r>
        <w:rPr>
          <w:rFonts w:hint="eastAsia" w:ascii="黑体" w:hAnsi="ˎ̥" w:eastAsia="黑体"/>
          <w:sz w:val="32"/>
          <w:szCs w:val="32"/>
          <w:lang w:eastAsia="zh-CN"/>
        </w:rPr>
        <w:t>天涯区</w:t>
      </w:r>
      <w:r>
        <w:rPr>
          <w:rFonts w:hint="eastAsia" w:ascii="黑体" w:hAnsi="ˎ̥" w:eastAsia="黑体"/>
          <w:sz w:val="32"/>
          <w:szCs w:val="32"/>
          <w:lang w:val="en-US" w:eastAsia="zh-CN"/>
        </w:rPr>
        <w:t>马岭大社区综合服务中心2022</w:t>
      </w:r>
      <w:r>
        <w:rPr>
          <w:rFonts w:hint="eastAsia" w:ascii="黑体" w:hAnsi="ˎ̥" w:eastAsia="黑体"/>
          <w:sz w:val="32"/>
          <w:szCs w:val="32"/>
        </w:rPr>
        <w:t>年度</w:t>
      </w:r>
      <w:r>
        <w:rPr>
          <w:rFonts w:hint="eastAsia" w:ascii="黑体" w:hAnsi="ˎ̥" w:eastAsia="黑体"/>
          <w:sz w:val="32"/>
          <w:szCs w:val="32"/>
          <w:lang w:val="en-US" w:eastAsia="zh-CN"/>
        </w:rPr>
        <w:t>部门</w:t>
      </w:r>
      <w:r>
        <w:rPr>
          <w:rFonts w:hint="eastAsia" w:ascii="黑体" w:hAnsi="ˎ̥" w:eastAsia="黑体"/>
          <w:sz w:val="32"/>
          <w:szCs w:val="32"/>
        </w:rPr>
        <w:t>决算</w:t>
      </w:r>
      <w:r>
        <w:rPr>
          <w:rFonts w:hint="eastAsia" w:ascii="黑体" w:hAnsi="ˎ̥" w:eastAsia="黑体"/>
          <w:sz w:val="32"/>
          <w:szCs w:val="32"/>
          <w:lang w:eastAsia="zh-CN"/>
        </w:rPr>
        <w:t>公开</w:t>
      </w:r>
      <w:r>
        <w:rPr>
          <w:rFonts w:hint="eastAsia" w:ascii="黑体" w:hAnsi="ˎ̥" w:eastAsia="黑体"/>
          <w:sz w:val="32"/>
          <w:szCs w:val="32"/>
        </w:rPr>
        <w:t>报表</w:t>
      </w:r>
      <w:bookmarkEnd w:id="20"/>
      <w:bookmarkEnd w:id="21"/>
      <w:bookmarkEnd w:id="22"/>
      <w:bookmarkEnd w:id="23"/>
      <w:bookmarkEnd w:id="24"/>
      <w:bookmarkEnd w:id="25"/>
    </w:p>
    <w:p>
      <w:pPr>
        <w:jc w:val="center"/>
        <w:rPr>
          <w:rFonts w:hint="eastAsia" w:ascii="黑体" w:hAnsi="ˎ̥" w:eastAsia="黑体"/>
          <w:sz w:val="32"/>
          <w:szCs w:val="32"/>
        </w:rPr>
      </w:pPr>
    </w:p>
    <w:p>
      <w:pPr>
        <w:ind w:firstLine="645"/>
        <w:rPr>
          <w:rFonts w:hint="eastAsia" w:ascii="黑体" w:hAnsi="黑体" w:eastAsia="黑体" w:cs="黑体"/>
          <w:sz w:val="32"/>
          <w:szCs w:val="32"/>
        </w:rPr>
      </w:pPr>
      <w:r>
        <w:rPr>
          <w:rFonts w:hint="eastAsia" w:ascii="黑体" w:hAnsi="黑体" w:eastAsia="黑体" w:cs="黑体"/>
          <w:sz w:val="32"/>
          <w:szCs w:val="32"/>
        </w:rPr>
        <w:t>一、收入支出决算</w:t>
      </w:r>
      <w:r>
        <w:rPr>
          <w:rFonts w:hint="eastAsia" w:ascii="黑体" w:hAnsi="黑体" w:eastAsia="黑体" w:cs="黑体"/>
          <w:sz w:val="32"/>
          <w:szCs w:val="32"/>
          <w:lang w:eastAsia="zh-CN"/>
        </w:rPr>
        <w:t>公开</w:t>
      </w:r>
      <w:r>
        <w:rPr>
          <w:rFonts w:hint="eastAsia" w:ascii="黑体" w:hAnsi="黑体" w:eastAsia="黑体" w:cs="黑体"/>
          <w:sz w:val="32"/>
          <w:szCs w:val="32"/>
        </w:rPr>
        <w:t>表（见正文附</w:t>
      </w:r>
      <w:r>
        <w:rPr>
          <w:rFonts w:hint="eastAsia" w:ascii="黑体" w:hAnsi="黑体" w:eastAsia="黑体" w:cs="黑体"/>
          <w:sz w:val="32"/>
          <w:szCs w:val="32"/>
          <w:lang w:eastAsia="zh-CN"/>
        </w:rPr>
        <w:t>表</w:t>
      </w:r>
      <w:r>
        <w:rPr>
          <w:rFonts w:hint="eastAsia" w:ascii="黑体" w:hAnsi="黑体" w:eastAsia="黑体" w:cs="黑体"/>
          <w:sz w:val="32"/>
          <w:szCs w:val="32"/>
        </w:rPr>
        <w:t>）</w:t>
      </w:r>
      <w:bookmarkEnd w:id="26"/>
      <w:bookmarkEnd w:id="27"/>
      <w:bookmarkEnd w:id="28"/>
      <w:r>
        <w:rPr>
          <w:rFonts w:hint="eastAsia" w:ascii="黑体" w:hAnsi="黑体" w:eastAsia="黑体" w:cs="黑体"/>
          <w:sz w:val="32"/>
          <w:szCs w:val="32"/>
        </w:rPr>
        <w:t>。</w:t>
      </w:r>
      <w:bookmarkEnd w:id="29"/>
      <w:bookmarkEnd w:id="30"/>
      <w:bookmarkEnd w:id="31"/>
    </w:p>
    <w:p>
      <w:pPr>
        <w:ind w:firstLine="645"/>
        <w:rPr>
          <w:rFonts w:hint="eastAsia" w:ascii="黑体" w:hAnsi="黑体" w:eastAsia="黑体" w:cs="黑体"/>
          <w:sz w:val="32"/>
          <w:szCs w:val="32"/>
        </w:rPr>
      </w:pPr>
      <w:bookmarkStart w:id="32" w:name="_Toc25608_WPSOffice_Level2"/>
      <w:bookmarkStart w:id="33" w:name="_Toc23139_WPSOffice_Level2"/>
      <w:bookmarkStart w:id="34" w:name="_Toc26621_WPSOffice_Level2"/>
      <w:bookmarkStart w:id="35" w:name="_Toc30334_WPSOffice_Level2"/>
      <w:bookmarkStart w:id="36" w:name="_Toc14349_WPSOffice_Level2"/>
      <w:bookmarkStart w:id="37" w:name="_Toc28622_WPSOffice_Level2"/>
      <w:r>
        <w:rPr>
          <w:rFonts w:hint="eastAsia" w:ascii="黑体" w:hAnsi="黑体" w:eastAsia="黑体" w:cs="黑体"/>
          <w:sz w:val="32"/>
          <w:szCs w:val="32"/>
        </w:rPr>
        <w:t>二、收入决算</w:t>
      </w:r>
      <w:r>
        <w:rPr>
          <w:rFonts w:hint="eastAsia" w:ascii="黑体" w:hAnsi="黑体" w:eastAsia="黑体" w:cs="黑体"/>
          <w:sz w:val="32"/>
          <w:szCs w:val="32"/>
          <w:lang w:eastAsia="zh-CN"/>
        </w:rPr>
        <w:t>公开</w:t>
      </w:r>
      <w:r>
        <w:rPr>
          <w:rFonts w:hint="eastAsia" w:ascii="黑体" w:hAnsi="黑体" w:eastAsia="黑体" w:cs="黑体"/>
          <w:sz w:val="32"/>
          <w:szCs w:val="32"/>
        </w:rPr>
        <w:t>表（见正文附件）</w:t>
      </w:r>
      <w:bookmarkEnd w:id="32"/>
      <w:bookmarkEnd w:id="33"/>
      <w:bookmarkEnd w:id="34"/>
      <w:r>
        <w:rPr>
          <w:rFonts w:hint="eastAsia" w:ascii="黑体" w:hAnsi="黑体" w:eastAsia="黑体" w:cs="黑体"/>
          <w:sz w:val="32"/>
          <w:szCs w:val="32"/>
        </w:rPr>
        <w:t>。</w:t>
      </w:r>
      <w:bookmarkEnd w:id="35"/>
      <w:bookmarkEnd w:id="36"/>
      <w:bookmarkEnd w:id="37"/>
    </w:p>
    <w:p>
      <w:pPr>
        <w:ind w:firstLine="645"/>
        <w:rPr>
          <w:rFonts w:hint="eastAsia" w:ascii="黑体" w:hAnsi="黑体" w:eastAsia="黑体" w:cs="黑体"/>
          <w:sz w:val="32"/>
          <w:szCs w:val="32"/>
        </w:rPr>
      </w:pPr>
      <w:bookmarkStart w:id="38" w:name="_Toc17626_WPSOffice_Level2"/>
      <w:bookmarkStart w:id="39" w:name="_Toc3262_WPSOffice_Level2"/>
      <w:bookmarkStart w:id="40" w:name="_Toc17858_WPSOffice_Level2"/>
      <w:bookmarkStart w:id="41" w:name="_Toc13854_WPSOffice_Level2"/>
      <w:bookmarkStart w:id="42" w:name="_Toc5489_WPSOffice_Level2"/>
      <w:bookmarkStart w:id="43" w:name="_Toc14658_WPSOffice_Level2"/>
      <w:r>
        <w:rPr>
          <w:rFonts w:hint="eastAsia" w:ascii="黑体" w:hAnsi="黑体" w:eastAsia="黑体" w:cs="黑体"/>
          <w:sz w:val="32"/>
          <w:szCs w:val="32"/>
        </w:rPr>
        <w:t>三、支出决算</w:t>
      </w:r>
      <w:r>
        <w:rPr>
          <w:rFonts w:hint="eastAsia" w:ascii="黑体" w:hAnsi="黑体" w:eastAsia="黑体" w:cs="黑体"/>
          <w:sz w:val="32"/>
          <w:szCs w:val="32"/>
          <w:lang w:eastAsia="zh-CN"/>
        </w:rPr>
        <w:t>公开</w:t>
      </w:r>
      <w:r>
        <w:rPr>
          <w:rFonts w:hint="eastAsia" w:ascii="黑体" w:hAnsi="黑体" w:eastAsia="黑体" w:cs="黑体"/>
          <w:sz w:val="32"/>
          <w:szCs w:val="32"/>
        </w:rPr>
        <w:t>表（见正文附件）</w:t>
      </w:r>
      <w:bookmarkEnd w:id="38"/>
      <w:bookmarkEnd w:id="39"/>
      <w:bookmarkEnd w:id="40"/>
      <w:r>
        <w:rPr>
          <w:rFonts w:hint="eastAsia" w:ascii="黑体" w:hAnsi="黑体" w:eastAsia="黑体" w:cs="黑体"/>
          <w:sz w:val="32"/>
          <w:szCs w:val="32"/>
        </w:rPr>
        <w:t>。</w:t>
      </w:r>
      <w:bookmarkEnd w:id="41"/>
      <w:bookmarkEnd w:id="42"/>
      <w:bookmarkEnd w:id="43"/>
    </w:p>
    <w:p>
      <w:pPr>
        <w:ind w:firstLine="645"/>
        <w:rPr>
          <w:rFonts w:hint="eastAsia" w:ascii="黑体" w:hAnsi="黑体" w:eastAsia="黑体" w:cs="黑体"/>
          <w:sz w:val="32"/>
          <w:szCs w:val="32"/>
        </w:rPr>
      </w:pPr>
      <w:bookmarkStart w:id="44" w:name="_Toc21415_WPSOffice_Level2"/>
      <w:bookmarkStart w:id="45" w:name="_Toc13701_WPSOffice_Level2"/>
      <w:bookmarkStart w:id="46" w:name="_Toc23591_WPSOffice_Level2"/>
      <w:bookmarkStart w:id="47" w:name="_Toc4265_WPSOffice_Level2"/>
      <w:bookmarkStart w:id="48" w:name="_Toc7988_WPSOffice_Level2"/>
      <w:bookmarkStart w:id="49" w:name="_Toc23493_WPSOffice_Level2"/>
      <w:r>
        <w:rPr>
          <w:rFonts w:hint="eastAsia" w:ascii="黑体" w:hAnsi="黑体" w:eastAsia="黑体" w:cs="黑体"/>
          <w:sz w:val="32"/>
          <w:szCs w:val="32"/>
        </w:rPr>
        <w:t>四、财政拨款收入支出决算</w:t>
      </w:r>
      <w:r>
        <w:rPr>
          <w:rFonts w:hint="eastAsia" w:ascii="黑体" w:hAnsi="黑体" w:eastAsia="黑体" w:cs="黑体"/>
          <w:sz w:val="32"/>
          <w:szCs w:val="32"/>
          <w:lang w:eastAsia="zh-CN"/>
        </w:rPr>
        <w:t>公开</w:t>
      </w:r>
      <w:r>
        <w:rPr>
          <w:rFonts w:hint="eastAsia" w:ascii="黑体" w:hAnsi="黑体" w:eastAsia="黑体" w:cs="黑体"/>
          <w:sz w:val="32"/>
          <w:szCs w:val="32"/>
        </w:rPr>
        <w:t>表（见正文附件）</w:t>
      </w:r>
      <w:bookmarkEnd w:id="44"/>
      <w:bookmarkEnd w:id="45"/>
      <w:bookmarkEnd w:id="46"/>
      <w:r>
        <w:rPr>
          <w:rFonts w:hint="eastAsia" w:ascii="黑体" w:hAnsi="黑体" w:eastAsia="黑体" w:cs="黑体"/>
          <w:sz w:val="32"/>
          <w:szCs w:val="32"/>
        </w:rPr>
        <w:t>。</w:t>
      </w:r>
      <w:bookmarkEnd w:id="47"/>
      <w:bookmarkEnd w:id="48"/>
      <w:bookmarkEnd w:id="49"/>
    </w:p>
    <w:p>
      <w:pPr>
        <w:ind w:firstLine="645"/>
        <w:rPr>
          <w:rFonts w:hint="eastAsia" w:ascii="黑体" w:hAnsi="黑体" w:eastAsia="黑体" w:cs="黑体"/>
          <w:sz w:val="32"/>
          <w:szCs w:val="32"/>
        </w:rPr>
      </w:pPr>
      <w:bookmarkStart w:id="50" w:name="_Toc25166_WPSOffice_Level2"/>
      <w:bookmarkStart w:id="51" w:name="_Toc22783_WPSOffice_Level2"/>
      <w:bookmarkStart w:id="52" w:name="_Toc23829_WPSOffice_Level2"/>
      <w:bookmarkStart w:id="53" w:name="_Toc7879_WPSOffice_Level2"/>
      <w:bookmarkStart w:id="54" w:name="_Toc13516_WPSOffice_Level2"/>
      <w:bookmarkStart w:id="55" w:name="_Toc2158_WPSOffice_Level2"/>
      <w:r>
        <w:rPr>
          <w:rFonts w:hint="eastAsia" w:ascii="黑体" w:hAnsi="黑体" w:eastAsia="黑体" w:cs="黑体"/>
          <w:sz w:val="32"/>
          <w:szCs w:val="32"/>
        </w:rPr>
        <w:t>五、一般公共预算财政拨款收入支出决算</w:t>
      </w:r>
      <w:bookmarkEnd w:id="50"/>
      <w:bookmarkEnd w:id="51"/>
      <w:bookmarkEnd w:id="52"/>
      <w:bookmarkEnd w:id="53"/>
      <w:r>
        <w:rPr>
          <w:rFonts w:hint="eastAsia" w:ascii="黑体" w:hAnsi="黑体" w:eastAsia="黑体" w:cs="黑体"/>
          <w:sz w:val="32"/>
          <w:szCs w:val="32"/>
          <w:lang w:eastAsia="zh-CN"/>
        </w:rPr>
        <w:t>公开</w:t>
      </w:r>
      <w:r>
        <w:rPr>
          <w:rFonts w:hint="eastAsia" w:ascii="黑体" w:hAnsi="黑体" w:eastAsia="黑体" w:cs="黑体"/>
          <w:sz w:val="32"/>
          <w:szCs w:val="32"/>
        </w:rPr>
        <w:t>表</w:t>
      </w:r>
    </w:p>
    <w:p>
      <w:pPr>
        <w:ind w:firstLine="1302" w:firstLineChars="407"/>
        <w:rPr>
          <w:rFonts w:hint="eastAsia" w:ascii="黑体" w:hAnsi="黑体" w:eastAsia="黑体" w:cs="黑体"/>
          <w:sz w:val="32"/>
          <w:szCs w:val="32"/>
        </w:rPr>
      </w:pPr>
      <w:r>
        <w:rPr>
          <w:rFonts w:hint="eastAsia" w:ascii="黑体" w:hAnsi="黑体" w:eastAsia="黑体" w:cs="黑体"/>
          <w:sz w:val="32"/>
          <w:szCs w:val="32"/>
        </w:rPr>
        <w:t>（见正文附件）</w:t>
      </w:r>
      <w:bookmarkEnd w:id="54"/>
      <w:bookmarkEnd w:id="55"/>
      <w:r>
        <w:rPr>
          <w:rFonts w:hint="eastAsia" w:ascii="黑体" w:hAnsi="黑体" w:eastAsia="黑体" w:cs="黑体"/>
          <w:sz w:val="32"/>
          <w:szCs w:val="32"/>
        </w:rPr>
        <w:t>。</w:t>
      </w:r>
    </w:p>
    <w:p>
      <w:pPr>
        <w:ind w:firstLine="645"/>
        <w:rPr>
          <w:rFonts w:hint="eastAsia" w:ascii="黑体" w:hAnsi="黑体" w:eastAsia="黑体" w:cs="黑体"/>
          <w:sz w:val="32"/>
          <w:szCs w:val="32"/>
        </w:rPr>
      </w:pPr>
      <w:bookmarkStart w:id="56" w:name="_Toc17833_WPSOffice_Level2"/>
      <w:bookmarkStart w:id="57" w:name="_Toc25362_WPSOffice_Level2"/>
      <w:bookmarkStart w:id="58" w:name="_Toc2632_WPSOffice_Level2"/>
      <w:bookmarkStart w:id="59" w:name="_Toc5343_WPSOffice_Level2"/>
      <w:bookmarkStart w:id="60" w:name="_Toc17283_WPSOffice_Level2"/>
      <w:bookmarkStart w:id="61" w:name="_Toc8373_WPSOffice_Level2"/>
      <w:r>
        <w:rPr>
          <w:rFonts w:hint="eastAsia" w:ascii="黑体" w:hAnsi="黑体" w:eastAsia="黑体" w:cs="黑体"/>
          <w:sz w:val="32"/>
          <w:szCs w:val="32"/>
        </w:rPr>
        <w:t>六、一般公共预算财政拨款基本支出决算</w:t>
      </w:r>
      <w:bookmarkEnd w:id="56"/>
      <w:bookmarkEnd w:id="57"/>
      <w:bookmarkEnd w:id="58"/>
      <w:bookmarkEnd w:id="59"/>
      <w:bookmarkEnd w:id="60"/>
      <w:bookmarkEnd w:id="61"/>
      <w:r>
        <w:rPr>
          <w:rFonts w:hint="eastAsia" w:ascii="黑体" w:hAnsi="黑体" w:eastAsia="黑体" w:cs="黑体"/>
          <w:sz w:val="32"/>
          <w:szCs w:val="32"/>
          <w:lang w:eastAsia="zh-CN"/>
        </w:rPr>
        <w:t>公开</w:t>
      </w:r>
      <w:r>
        <w:rPr>
          <w:rFonts w:hint="eastAsia" w:ascii="黑体" w:hAnsi="黑体" w:eastAsia="黑体" w:cs="黑体"/>
          <w:sz w:val="32"/>
          <w:szCs w:val="32"/>
        </w:rPr>
        <w:t>表</w:t>
      </w:r>
    </w:p>
    <w:p>
      <w:pPr>
        <w:ind w:firstLine="1280" w:firstLineChars="400"/>
        <w:rPr>
          <w:rFonts w:hint="eastAsia"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hint="eastAsia" w:ascii="黑体" w:hAnsi="黑体" w:eastAsia="黑体" w:cs="黑体"/>
          <w:sz w:val="32"/>
          <w:szCs w:val="32"/>
        </w:rPr>
      </w:pPr>
      <w:bookmarkStart w:id="62" w:name="_Toc11799_WPSOffice_Level2"/>
      <w:bookmarkStart w:id="63" w:name="_Toc21310_WPSOffice_Level2"/>
      <w:bookmarkStart w:id="64" w:name="_Toc6020_WPSOffice_Level2"/>
      <w:bookmarkStart w:id="65" w:name="_Toc1533_WPSOffice_Level2"/>
      <w:bookmarkStart w:id="66" w:name="_Toc5594_WPSOffice_Level2"/>
      <w:bookmarkStart w:id="67" w:name="_Toc13345_WPSOffice_Level2"/>
      <w:r>
        <w:rPr>
          <w:rFonts w:hint="eastAsia" w:ascii="黑体" w:hAnsi="黑体" w:eastAsia="黑体" w:cs="黑体"/>
          <w:sz w:val="32"/>
          <w:szCs w:val="32"/>
        </w:rPr>
        <w:t>七、政府性基金预算财政拨款收入支出决算</w:t>
      </w:r>
      <w:bookmarkEnd w:id="62"/>
      <w:bookmarkEnd w:id="63"/>
      <w:bookmarkEnd w:id="64"/>
      <w:bookmarkEnd w:id="65"/>
      <w:bookmarkEnd w:id="66"/>
      <w:bookmarkEnd w:id="67"/>
      <w:r>
        <w:rPr>
          <w:rFonts w:hint="eastAsia" w:ascii="黑体" w:hAnsi="黑体" w:eastAsia="黑体" w:cs="黑体"/>
          <w:sz w:val="32"/>
          <w:szCs w:val="32"/>
          <w:lang w:eastAsia="zh-CN"/>
        </w:rPr>
        <w:t>公开</w:t>
      </w:r>
      <w:r>
        <w:rPr>
          <w:rFonts w:hint="eastAsia" w:ascii="黑体" w:hAnsi="黑体" w:eastAsia="黑体" w:cs="黑体"/>
          <w:sz w:val="32"/>
          <w:szCs w:val="32"/>
        </w:rPr>
        <w:t>表</w:t>
      </w:r>
    </w:p>
    <w:p>
      <w:pPr>
        <w:ind w:left="1277" w:leftChars="608" w:firstLine="160" w:firstLineChars="50"/>
        <w:rPr>
          <w:rFonts w:hint="eastAsia"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hint="eastAsia" w:ascii="黑体" w:hAnsi="黑体" w:eastAsia="黑体" w:cs="黑体"/>
          <w:sz w:val="32"/>
          <w:szCs w:val="32"/>
        </w:rPr>
      </w:pPr>
      <w:bookmarkStart w:id="68" w:name="_Toc29886_WPSOffice_Level2"/>
      <w:bookmarkStart w:id="69" w:name="_Toc9377_WPSOffice_Level2"/>
      <w:bookmarkStart w:id="70" w:name="_Toc19961_WPSOffice_Level2"/>
      <w:bookmarkStart w:id="71" w:name="_Toc1820_WPSOffice_Level2"/>
      <w:r>
        <w:rPr>
          <w:rFonts w:hint="eastAsia" w:ascii="黑体" w:hAnsi="黑体" w:eastAsia="黑体" w:cs="黑体"/>
          <w:sz w:val="32"/>
          <w:szCs w:val="32"/>
        </w:rPr>
        <w:t>八、</w:t>
      </w:r>
      <w:r>
        <w:rPr>
          <w:rFonts w:hint="eastAsia" w:ascii="黑体" w:hAnsi="黑体" w:eastAsia="黑体" w:cs="黑体"/>
          <w:sz w:val="32"/>
          <w:szCs w:val="32"/>
          <w:lang w:eastAsia="zh-CN"/>
        </w:rPr>
        <w:t>国有资本经营</w:t>
      </w:r>
      <w:r>
        <w:rPr>
          <w:rFonts w:hint="eastAsia" w:ascii="黑体" w:hAnsi="黑体" w:eastAsia="黑体" w:cs="黑体"/>
          <w:sz w:val="32"/>
          <w:szCs w:val="32"/>
        </w:rPr>
        <w:t>预算财政拨款收入支出决算</w:t>
      </w:r>
      <w:r>
        <w:rPr>
          <w:rFonts w:hint="eastAsia" w:ascii="黑体" w:hAnsi="黑体" w:eastAsia="黑体" w:cs="黑体"/>
          <w:sz w:val="32"/>
          <w:szCs w:val="32"/>
          <w:lang w:eastAsia="zh-CN"/>
        </w:rPr>
        <w:t>公开表</w:t>
      </w:r>
    </w:p>
    <w:p>
      <w:pPr>
        <w:ind w:firstLine="640"/>
        <w:rPr>
          <w:rFonts w:hint="eastAsia" w:ascii="黑体" w:hAnsi="黑体" w:eastAsia="黑体" w:cs="黑体"/>
          <w:sz w:val="32"/>
          <w:szCs w:val="32"/>
        </w:rPr>
      </w:pPr>
      <w:r>
        <w:rPr>
          <w:rFonts w:hint="eastAsia" w:ascii="黑体" w:hAnsi="黑体" w:eastAsia="黑体" w:cs="黑体"/>
          <w:sz w:val="32"/>
          <w:szCs w:val="32"/>
          <w:lang w:eastAsia="zh-CN"/>
        </w:rPr>
        <w:t>（见正文附件）。</w:t>
      </w:r>
    </w:p>
    <w:p>
      <w:pPr>
        <w:ind w:firstLine="640"/>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一般公共预算财政拨款“三公”经费支出决算</w:t>
      </w:r>
    </w:p>
    <w:p>
      <w:pPr>
        <w:rPr>
          <w:rFonts w:hint="eastAsia" w:ascii="黑体" w:hAnsi="黑体" w:eastAsia="黑体" w:cs="黑体"/>
          <w:sz w:val="32"/>
          <w:szCs w:val="32"/>
        </w:rPr>
      </w:pPr>
      <w:r>
        <w:rPr>
          <w:rFonts w:hint="eastAsia" w:ascii="黑体" w:hAnsi="黑体" w:eastAsia="黑体" w:cs="黑体"/>
          <w:sz w:val="32"/>
          <w:szCs w:val="32"/>
        </w:rPr>
        <w:t xml:space="preserve">        </w:t>
      </w:r>
      <w:bookmarkEnd w:id="68"/>
      <w:bookmarkEnd w:id="69"/>
      <w:bookmarkEnd w:id="70"/>
      <w:bookmarkEnd w:id="71"/>
      <w:r>
        <w:rPr>
          <w:rFonts w:hint="eastAsia" w:ascii="黑体" w:hAnsi="黑体" w:eastAsia="黑体" w:cs="黑体"/>
          <w:sz w:val="32"/>
          <w:szCs w:val="32"/>
          <w:lang w:eastAsia="zh-CN"/>
        </w:rPr>
        <w:t>公开</w:t>
      </w:r>
      <w:r>
        <w:rPr>
          <w:rFonts w:hint="eastAsia" w:ascii="黑体" w:hAnsi="黑体" w:eastAsia="黑体" w:cs="黑体"/>
          <w:sz w:val="32"/>
          <w:szCs w:val="32"/>
        </w:rPr>
        <w:t>表（见正文附件）。</w:t>
      </w:r>
    </w:p>
    <w:p>
      <w:pPr>
        <w:rPr>
          <w:rFonts w:hint="eastAsia" w:ascii="黑体" w:hAnsi="黑体" w:eastAsia="黑体" w:cs="黑体"/>
          <w:w w:val="96"/>
          <w:sz w:val="32"/>
          <w:szCs w:val="32"/>
        </w:rPr>
      </w:pPr>
      <w:r>
        <w:rPr>
          <w:rFonts w:hint="eastAsia" w:ascii="黑体" w:hAnsi="黑体" w:eastAsia="黑体" w:cs="黑体"/>
          <w:w w:val="96"/>
          <w:sz w:val="32"/>
          <w:szCs w:val="32"/>
        </w:rPr>
        <w:t xml:space="preserve">    </w:t>
      </w:r>
      <w:r>
        <w:rPr>
          <w:rFonts w:hint="eastAsia" w:ascii="黑体" w:hAnsi="黑体" w:eastAsia="黑体" w:cs="黑体"/>
          <w:w w:val="96"/>
          <w:sz w:val="32"/>
          <w:szCs w:val="32"/>
          <w:lang w:eastAsia="zh-CN"/>
        </w:rPr>
        <w:t>十</w:t>
      </w:r>
      <w:r>
        <w:rPr>
          <w:rFonts w:hint="eastAsia" w:ascii="黑体" w:hAnsi="黑体" w:eastAsia="黑体" w:cs="黑体"/>
          <w:w w:val="96"/>
          <w:sz w:val="32"/>
          <w:szCs w:val="32"/>
        </w:rPr>
        <w:t>、政府性基金预算财政拨款“三公”经费支出决算</w:t>
      </w:r>
    </w:p>
    <w:p>
      <w:pPr>
        <w:rPr>
          <w:rFonts w:hint="eastAsia" w:ascii="黑体" w:hAnsi="黑体" w:eastAsia="黑体" w:cs="黑体"/>
          <w:sz w:val="32"/>
          <w:szCs w:val="32"/>
        </w:rPr>
      </w:pPr>
      <w:r>
        <w:rPr>
          <w:rFonts w:hint="eastAsia" w:ascii="黑体" w:hAnsi="黑体" w:eastAsia="黑体" w:cs="黑体"/>
          <w:w w:val="96"/>
          <w:sz w:val="32"/>
          <w:szCs w:val="32"/>
        </w:rPr>
        <w:t xml:space="preserve">        </w:t>
      </w:r>
      <w:r>
        <w:rPr>
          <w:rFonts w:hint="eastAsia" w:ascii="黑体" w:hAnsi="黑体" w:eastAsia="黑体" w:cs="黑体"/>
          <w:sz w:val="32"/>
          <w:szCs w:val="32"/>
          <w:lang w:eastAsia="zh-CN"/>
        </w:rPr>
        <w:t>公开</w:t>
      </w:r>
      <w:r>
        <w:rPr>
          <w:rFonts w:hint="eastAsia" w:ascii="黑体" w:hAnsi="黑体" w:eastAsia="黑体" w:cs="黑体"/>
          <w:sz w:val="32"/>
          <w:szCs w:val="32"/>
        </w:rPr>
        <w:t>表（见正文附件）。</w:t>
      </w:r>
    </w:p>
    <w:p>
      <w:pPr>
        <w:numPr>
          <w:ilvl w:val="0"/>
          <w:numId w:val="0"/>
        </w:numPr>
        <w:rPr>
          <w:rFonts w:hint="eastAsia" w:ascii="黑体" w:hAnsi="黑体" w:eastAsia="黑体" w:cs="黑体"/>
          <w:w w:val="96"/>
          <w:sz w:val="32"/>
          <w:szCs w:val="32"/>
        </w:rPr>
      </w:pPr>
      <w:r>
        <w:rPr>
          <w:rFonts w:hint="eastAsia" w:ascii="黑体" w:hAnsi="黑体" w:cs="黑体"/>
          <w:sz w:val="32"/>
          <w:szCs w:val="32"/>
          <w:lang w:val="en-US" w:eastAsia="zh-CN"/>
        </w:rPr>
        <w:t xml:space="preserve">   </w:t>
      </w:r>
      <w:r>
        <w:rPr>
          <w:rFonts w:hint="eastAsia" w:ascii="黑体" w:hAnsi="黑体" w:eastAsia="黑体" w:cs="黑体"/>
          <w:w w:val="96"/>
          <w:sz w:val="32"/>
          <w:szCs w:val="32"/>
          <w:lang w:val="en-US" w:eastAsia="zh-CN"/>
        </w:rPr>
        <w:t>十一、</w:t>
      </w:r>
      <w:r>
        <w:rPr>
          <w:rFonts w:hint="eastAsia" w:ascii="黑体" w:hAnsi="黑体" w:eastAsia="黑体" w:cs="黑体"/>
          <w:w w:val="96"/>
          <w:sz w:val="32"/>
          <w:szCs w:val="32"/>
          <w:lang w:eastAsia="zh-CN"/>
        </w:rPr>
        <w:t>国有资本经营</w:t>
      </w:r>
      <w:r>
        <w:rPr>
          <w:rFonts w:hint="eastAsia" w:ascii="黑体" w:hAnsi="黑体" w:eastAsia="黑体" w:cs="黑体"/>
          <w:w w:val="96"/>
          <w:sz w:val="32"/>
          <w:szCs w:val="32"/>
        </w:rPr>
        <w:t>预算财政拨款“三公”经费支出决算</w:t>
      </w:r>
    </w:p>
    <w:p>
      <w:pPr>
        <w:numPr>
          <w:ilvl w:val="0"/>
          <w:numId w:val="0"/>
        </w:numPr>
        <w:rPr>
          <w:rFonts w:hint="eastAsia"/>
          <w:lang w:val="en-US" w:eastAsia="zh-CN"/>
        </w:rPr>
      </w:pPr>
      <w:r>
        <w:rPr>
          <w:rFonts w:hint="eastAsia" w:ascii="黑体" w:hAnsi="黑体" w:eastAsia="黑体" w:cs="黑体"/>
          <w:w w:val="96"/>
          <w:sz w:val="32"/>
          <w:szCs w:val="32"/>
          <w:lang w:val="en-US" w:eastAsia="zh-CN"/>
        </w:rPr>
        <w:t xml:space="preserve">        </w:t>
      </w:r>
      <w:r>
        <w:rPr>
          <w:rFonts w:hint="eastAsia" w:ascii="黑体" w:hAnsi="黑体" w:eastAsia="黑体" w:cs="黑体"/>
          <w:sz w:val="32"/>
          <w:szCs w:val="32"/>
          <w:lang w:eastAsia="zh-CN"/>
        </w:rPr>
        <w:t>公开</w:t>
      </w:r>
      <w:r>
        <w:rPr>
          <w:rFonts w:hint="eastAsia" w:ascii="黑体" w:hAnsi="黑体" w:eastAsia="黑体" w:cs="黑体"/>
          <w:sz w:val="32"/>
          <w:szCs w:val="32"/>
        </w:rPr>
        <w:t>表（见正文附件）。</w:t>
      </w:r>
    </w:p>
    <w:p>
      <w:pPr>
        <w:jc w:val="both"/>
        <w:rPr>
          <w:rFonts w:hint="eastAsia" w:ascii="黑体" w:hAnsi="ˎ̥" w:eastAsia="黑体"/>
          <w:sz w:val="32"/>
          <w:szCs w:val="32"/>
        </w:rPr>
      </w:pPr>
      <w:bookmarkStart w:id="72" w:name="_Toc27590_WPSOffice_Level1"/>
      <w:bookmarkStart w:id="73" w:name="_Toc16686_WPSOffice_Level1"/>
      <w:bookmarkStart w:id="74" w:name="_Toc29683_WPSOffice_Level1"/>
      <w:bookmarkStart w:id="75" w:name="_Toc31264_WPSOffice_Level1"/>
      <w:bookmarkStart w:id="76" w:name="_Toc28629_WPSOffice_Level1"/>
      <w:bookmarkStart w:id="77" w:name="_Toc4402_WPSOffice_Level1"/>
    </w:p>
    <w:p>
      <w:pPr>
        <w:pStyle w:val="2"/>
        <w:rPr>
          <w:rFonts w:hint="eastAsia"/>
        </w:rPr>
      </w:pPr>
    </w:p>
    <w:p>
      <w:pPr>
        <w:jc w:val="center"/>
        <w:rPr>
          <w:rFonts w:hint="eastAsia" w:ascii="黑体" w:hAnsi="ˎ̥" w:eastAsia="黑体"/>
          <w:sz w:val="32"/>
          <w:szCs w:val="32"/>
        </w:rPr>
      </w:pPr>
      <w:r>
        <w:rPr>
          <w:rFonts w:hint="eastAsia" w:ascii="黑体" w:hAnsi="ˎ̥" w:eastAsia="黑体"/>
          <w:sz w:val="32"/>
          <w:szCs w:val="32"/>
        </w:rPr>
        <w:t xml:space="preserve">第三部分 </w:t>
      </w:r>
      <w:r>
        <w:rPr>
          <w:rFonts w:hint="eastAsia" w:ascii="黑体" w:hAnsi="ˎ̥" w:eastAsia="黑体"/>
          <w:sz w:val="32"/>
          <w:szCs w:val="32"/>
          <w:lang w:eastAsia="zh-CN"/>
        </w:rPr>
        <w:t>天涯区</w:t>
      </w:r>
      <w:r>
        <w:rPr>
          <w:rFonts w:hint="eastAsia" w:ascii="黑体" w:hAnsi="ˎ̥" w:eastAsia="黑体"/>
          <w:sz w:val="32"/>
          <w:szCs w:val="32"/>
          <w:lang w:val="en-US" w:eastAsia="zh-CN"/>
        </w:rPr>
        <w:t>马岭大社区综合服务中心2022</w:t>
      </w:r>
      <w:r>
        <w:rPr>
          <w:rFonts w:hint="eastAsia" w:ascii="黑体" w:hAnsi="ˎ̥" w:eastAsia="黑体"/>
          <w:sz w:val="32"/>
          <w:szCs w:val="32"/>
        </w:rPr>
        <w:t>年度</w:t>
      </w:r>
      <w:r>
        <w:rPr>
          <w:rFonts w:hint="eastAsia" w:ascii="黑体" w:hAnsi="ˎ̥" w:eastAsia="黑体"/>
          <w:sz w:val="32"/>
          <w:szCs w:val="32"/>
          <w:lang w:val="en-US" w:eastAsia="zh-CN"/>
        </w:rPr>
        <w:t>部门</w:t>
      </w:r>
      <w:r>
        <w:rPr>
          <w:rFonts w:hint="eastAsia" w:ascii="黑体" w:hAnsi="ˎ̥" w:eastAsia="黑体"/>
          <w:sz w:val="32"/>
          <w:szCs w:val="32"/>
        </w:rPr>
        <w:t>决算情况说明</w:t>
      </w:r>
      <w:bookmarkEnd w:id="72"/>
      <w:bookmarkEnd w:id="73"/>
      <w:bookmarkEnd w:id="74"/>
      <w:bookmarkEnd w:id="75"/>
      <w:bookmarkEnd w:id="76"/>
      <w:bookmarkEnd w:id="77"/>
    </w:p>
    <w:p>
      <w:pPr>
        <w:pStyle w:val="2"/>
        <w:rPr>
          <w:rFonts w:hint="eastAsia"/>
        </w:rPr>
      </w:pPr>
    </w:p>
    <w:p>
      <w:pPr>
        <w:ind w:firstLine="640" w:firstLineChars="200"/>
        <w:rPr>
          <w:rFonts w:hint="eastAsia" w:ascii="仿宋_GB2312" w:hAnsi="宋体" w:eastAsia="仿宋_GB2312" w:cs="仿宋_GB2312"/>
          <w:kern w:val="0"/>
          <w:sz w:val="32"/>
          <w:szCs w:val="32"/>
          <w:highlight w:val="none"/>
        </w:rPr>
      </w:pPr>
      <w:r>
        <w:rPr>
          <w:rFonts w:hint="eastAsia" w:ascii="黑体" w:hAnsi="黑体" w:eastAsia="黑体" w:cs="黑体"/>
          <w:bCs/>
          <w:sz w:val="32"/>
          <w:szCs w:val="32"/>
        </w:rPr>
        <w:t>一、收入支出决算总体情况说明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eastAsia" w:ascii="仿宋_GB2312" w:hAnsi="ˎ̥" w:eastAsia="仿宋_GB2312"/>
          <w:sz w:val="32"/>
          <w:szCs w:val="32"/>
          <w:lang w:eastAsia="zh-CN"/>
        </w:rPr>
        <w:t>天涯区</w:t>
      </w:r>
      <w:r>
        <w:rPr>
          <w:rFonts w:hint="eastAsia" w:ascii="仿宋_GB2312" w:hAnsi="黑体" w:eastAsia="仿宋_GB2312" w:cs="仿宋_GB2312"/>
          <w:sz w:val="32"/>
          <w:szCs w:val="32"/>
          <w:lang w:val="en-US" w:eastAsia="zh-CN"/>
        </w:rPr>
        <w:t>马岭大社区综合服务中心</w:t>
      </w:r>
      <w:r>
        <w:rPr>
          <w:rFonts w:hint="eastAsia" w:ascii="仿宋_GB2312" w:hAnsi="ˎ̥" w:eastAsia="仿宋_GB2312"/>
          <w:sz w:val="32"/>
          <w:szCs w:val="32"/>
          <w:highlight w:val="none"/>
          <w:lang w:val="en-US" w:eastAsia="zh-CN"/>
        </w:rPr>
        <w:t>2022</w:t>
      </w:r>
      <w:r>
        <w:rPr>
          <w:rFonts w:hint="eastAsia" w:ascii="仿宋_GB2312" w:hAnsi="ˎ̥" w:eastAsia="仿宋_GB2312"/>
          <w:sz w:val="32"/>
          <w:szCs w:val="32"/>
          <w:highlight w:val="none"/>
        </w:rPr>
        <w:t>年度</w:t>
      </w:r>
      <w:r>
        <w:rPr>
          <w:rFonts w:hint="eastAsia" w:ascii="仿宋_GB2312" w:hAnsi="宋体" w:eastAsia="仿宋_GB2312" w:cs="仿宋_GB2312"/>
          <w:kern w:val="0"/>
          <w:sz w:val="32"/>
          <w:szCs w:val="32"/>
          <w:highlight w:val="none"/>
        </w:rPr>
        <w:t>收入</w:t>
      </w:r>
      <w:r>
        <w:rPr>
          <w:rFonts w:hint="eastAsia" w:ascii="仿宋_GB2312" w:hAnsi="宋体" w:eastAsia="仿宋_GB2312" w:cs="仿宋_GB2312"/>
          <w:kern w:val="0"/>
          <w:sz w:val="32"/>
          <w:szCs w:val="32"/>
          <w:highlight w:val="none"/>
          <w:lang w:eastAsia="zh-CN"/>
        </w:rPr>
        <w:t>总计</w:t>
      </w:r>
      <w:r>
        <w:rPr>
          <w:rFonts w:hint="eastAsia" w:ascii="仿宋_GB2312" w:hAnsi="宋体" w:eastAsia="仿宋_GB2312" w:cs="仿宋_GB2312"/>
          <w:kern w:val="0"/>
          <w:sz w:val="32"/>
          <w:szCs w:val="32"/>
          <w:highlight w:val="none"/>
          <w:lang w:val="en-US" w:eastAsia="zh-CN"/>
        </w:rPr>
        <w:t>294.68</w:t>
      </w:r>
      <w:r>
        <w:rPr>
          <w:rFonts w:hint="eastAsia" w:ascii="仿宋_GB2312" w:hAnsi="宋体" w:eastAsia="仿宋_GB2312" w:cs="仿宋_GB2312"/>
          <w:kern w:val="0"/>
          <w:sz w:val="32"/>
          <w:szCs w:val="32"/>
          <w:highlight w:val="none"/>
        </w:rPr>
        <w:t>万元，支出</w:t>
      </w:r>
      <w:r>
        <w:rPr>
          <w:rFonts w:hint="eastAsia" w:ascii="仿宋_GB2312" w:hAnsi="宋体" w:eastAsia="仿宋_GB2312" w:cs="仿宋_GB2312"/>
          <w:kern w:val="0"/>
          <w:sz w:val="32"/>
          <w:szCs w:val="32"/>
          <w:highlight w:val="none"/>
          <w:lang w:eastAsia="zh-CN"/>
        </w:rPr>
        <w:t>总计</w:t>
      </w:r>
      <w:r>
        <w:rPr>
          <w:rFonts w:hint="eastAsia" w:ascii="仿宋_GB2312" w:hAnsi="宋体" w:eastAsia="仿宋_GB2312" w:cs="仿宋_GB2312"/>
          <w:kern w:val="0"/>
          <w:sz w:val="32"/>
          <w:szCs w:val="32"/>
          <w:highlight w:val="none"/>
          <w:lang w:val="en-US" w:eastAsia="zh-CN"/>
        </w:rPr>
        <w:t>294.67</w:t>
      </w:r>
      <w:r>
        <w:rPr>
          <w:rFonts w:hint="eastAsia" w:ascii="仿宋_GB2312" w:hAnsi="宋体" w:eastAsia="仿宋_GB2312" w:cs="仿宋_GB2312"/>
          <w:kern w:val="0"/>
          <w:sz w:val="32"/>
          <w:szCs w:val="32"/>
          <w:highlight w:val="none"/>
        </w:rPr>
        <w:t>万元</w:t>
      </w:r>
      <w:r>
        <w:rPr>
          <w:rFonts w:hint="eastAsia" w:ascii="仿宋_GB2312" w:hAnsi="ˎ̥" w:eastAsia="仿宋_GB2312"/>
          <w:sz w:val="32"/>
          <w:szCs w:val="32"/>
        </w:rPr>
        <w:t>，与20</w:t>
      </w:r>
      <w:r>
        <w:rPr>
          <w:rFonts w:hint="eastAsia" w:ascii="仿宋_GB2312" w:hAnsi="ˎ̥" w:eastAsia="仿宋_GB2312"/>
          <w:sz w:val="32"/>
          <w:szCs w:val="32"/>
          <w:lang w:val="en-US" w:eastAsia="zh-CN"/>
        </w:rPr>
        <w:t>21</w:t>
      </w:r>
      <w:r>
        <w:rPr>
          <w:rFonts w:hint="eastAsia" w:ascii="仿宋_GB2312" w:hAnsi="ˎ̥" w:eastAsia="仿宋_GB2312"/>
          <w:sz w:val="32"/>
          <w:szCs w:val="32"/>
        </w:rPr>
        <w:t>年度相比，</w:t>
      </w:r>
      <w:r>
        <w:rPr>
          <w:rFonts w:hint="eastAsia" w:ascii="仿宋_GB2312" w:hAnsi="ˎ̥" w:eastAsia="仿宋_GB2312"/>
          <w:color w:val="auto"/>
          <w:sz w:val="32"/>
          <w:szCs w:val="32"/>
        </w:rPr>
        <w:t>收入、支出总计各</w:t>
      </w:r>
      <w:r>
        <w:rPr>
          <w:rFonts w:hint="eastAsia" w:ascii="仿宋_GB2312" w:hAnsi="ˎ̥" w:eastAsia="仿宋_GB2312"/>
          <w:color w:val="auto"/>
          <w:sz w:val="32"/>
          <w:szCs w:val="32"/>
          <w:lang w:eastAsia="zh-CN"/>
        </w:rPr>
        <w:t>减少</w:t>
      </w:r>
      <w:r>
        <w:rPr>
          <w:rFonts w:hint="eastAsia" w:ascii="仿宋_GB2312" w:hAnsi="ˎ̥" w:eastAsia="仿宋_GB2312"/>
          <w:color w:val="auto"/>
          <w:sz w:val="32"/>
          <w:szCs w:val="32"/>
          <w:lang w:val="en-US" w:eastAsia="zh-CN"/>
        </w:rPr>
        <w:t>149.49万元、150.06</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分别减少</w:t>
      </w:r>
      <w:r>
        <w:rPr>
          <w:rFonts w:hint="eastAsia" w:ascii="仿宋_GB2312" w:hAnsi="ˎ̥" w:eastAsia="仿宋_GB2312"/>
          <w:color w:val="auto"/>
          <w:sz w:val="32"/>
          <w:szCs w:val="32"/>
          <w:lang w:val="en-US" w:eastAsia="zh-CN"/>
        </w:rPr>
        <w:t>33.66</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和</w:t>
      </w:r>
      <w:r>
        <w:rPr>
          <w:rFonts w:hint="eastAsia" w:ascii="仿宋_GB2312" w:hAnsi="ˎ̥" w:eastAsia="仿宋_GB2312"/>
          <w:color w:val="auto"/>
          <w:sz w:val="32"/>
          <w:szCs w:val="32"/>
          <w:lang w:val="en-US" w:eastAsia="zh-CN"/>
        </w:rPr>
        <w:t>33.74</w:t>
      </w:r>
      <w:r>
        <w:rPr>
          <w:rFonts w:hint="eastAsia" w:ascii="仿宋_GB2312" w:hAnsi="ˎ̥" w:eastAsia="仿宋_GB2312"/>
          <w:color w:val="auto"/>
          <w:sz w:val="32"/>
          <w:szCs w:val="32"/>
        </w:rPr>
        <w:t>%。</w:t>
      </w:r>
      <w:r>
        <w:rPr>
          <w:rFonts w:hint="eastAsia" w:ascii="仿宋_GB2312" w:hAnsi="ˎ̥" w:eastAsia="仿宋_GB2312"/>
          <w:sz w:val="32"/>
          <w:szCs w:val="32"/>
        </w:rPr>
        <w:t>主要原因</w:t>
      </w:r>
      <w:r>
        <w:rPr>
          <w:rFonts w:hint="eastAsia" w:ascii="仿宋_GB2312" w:hAnsi="ˎ̥" w:eastAsia="仿宋_GB2312"/>
          <w:sz w:val="32"/>
          <w:szCs w:val="32"/>
          <w:lang w:val="en-US" w:eastAsia="zh-CN"/>
        </w:rPr>
        <w:t>: 2022年度预算不足，2022年度有资金缺口</w:t>
      </w:r>
      <w:r>
        <w:rPr>
          <w:rFonts w:hint="eastAsia" w:ascii="仿宋_GB2312" w:hAnsi="ˎ̥" w:eastAsia="仿宋_GB2312"/>
          <w:sz w:val="32"/>
          <w:szCs w:val="32"/>
          <w:lang w:eastAsia="zh-CN"/>
        </w:rPr>
        <w:t>。</w:t>
      </w:r>
      <w:r>
        <w:rPr>
          <w:rFonts w:hint="eastAsia" w:ascii="仿宋_GB2312" w:hAnsi="宋体" w:eastAsia="仿宋_GB2312" w:cs="仿宋_GB2312"/>
          <w:kern w:val="0"/>
          <w:sz w:val="32"/>
          <w:szCs w:val="32"/>
        </w:rPr>
        <w:t>年末结转和结余</w:t>
      </w:r>
      <w:r>
        <w:rPr>
          <w:rFonts w:hint="eastAsia" w:ascii="仿宋_GB2312" w:hAnsi="宋体" w:eastAsia="仿宋_GB2312" w:cs="仿宋_GB2312"/>
          <w:kern w:val="0"/>
          <w:sz w:val="32"/>
          <w:szCs w:val="32"/>
          <w:lang w:val="en-US" w:eastAsia="zh-CN"/>
        </w:rPr>
        <w:t>0</w:t>
      </w:r>
      <w:r>
        <w:rPr>
          <w:rFonts w:hint="eastAsia" w:ascii="仿宋_GB2312" w:hAnsi="宋体" w:eastAsia="仿宋_GB2312" w:cs="仿宋_GB2312"/>
          <w:kern w:val="0"/>
          <w:sz w:val="32"/>
          <w:szCs w:val="32"/>
        </w:rPr>
        <w:t>万元</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highlight w:val="none"/>
        </w:rPr>
        <w:t>使用非财政拨款结余0.00万元，较202</w:t>
      </w:r>
      <w:r>
        <w:rPr>
          <w:rFonts w:hint="eastAsia" w:ascii="仿宋_GB2312" w:hAnsi="宋体" w:eastAsia="仿宋_GB2312" w:cs="仿宋_GB2312"/>
          <w:kern w:val="0"/>
          <w:sz w:val="32"/>
          <w:szCs w:val="32"/>
          <w:highlight w:val="none"/>
          <w:lang w:val="en-US" w:eastAsia="zh-CN"/>
        </w:rPr>
        <w:t>1</w:t>
      </w:r>
      <w:r>
        <w:rPr>
          <w:rFonts w:hint="eastAsia" w:ascii="仿宋_GB2312" w:hAnsi="宋体" w:eastAsia="仿宋_GB2312" w:cs="仿宋_GB2312"/>
          <w:kern w:val="0"/>
          <w:sz w:val="32"/>
          <w:szCs w:val="32"/>
          <w:highlight w:val="none"/>
        </w:rPr>
        <w:t>年度决算数增加</w:t>
      </w:r>
      <w:r>
        <w:rPr>
          <w:rFonts w:hint="eastAsia" w:ascii="仿宋_GB2312" w:hAnsi="宋体" w:eastAsia="仿宋_GB2312" w:cs="仿宋_GB2312"/>
          <w:kern w:val="0"/>
          <w:sz w:val="32"/>
          <w:szCs w:val="32"/>
          <w:highlight w:val="none"/>
          <w:lang w:val="en-US" w:eastAsia="zh-CN"/>
        </w:rPr>
        <w:t>0</w:t>
      </w:r>
      <w:r>
        <w:rPr>
          <w:rFonts w:hint="eastAsia" w:ascii="仿宋_GB2312" w:hAnsi="宋体" w:eastAsia="仿宋_GB2312" w:cs="仿宋_GB2312"/>
          <w:kern w:val="0"/>
          <w:sz w:val="32"/>
          <w:szCs w:val="32"/>
          <w:highlight w:val="none"/>
        </w:rPr>
        <w:t>万元，主要原因是</w:t>
      </w:r>
      <w:r>
        <w:rPr>
          <w:rFonts w:hint="eastAsia" w:ascii="仿宋_GB2312" w:hAnsi="宋体" w:eastAsia="仿宋_GB2312" w:cs="仿宋_GB2312"/>
          <w:kern w:val="0"/>
          <w:sz w:val="32"/>
          <w:szCs w:val="32"/>
          <w:highlight w:val="none"/>
          <w:lang w:eastAsia="zh-CN"/>
        </w:rPr>
        <w:t>无非财政拨款结余</w:t>
      </w:r>
      <w:r>
        <w:rPr>
          <w:rFonts w:hint="eastAsia" w:ascii="仿宋_GB2312" w:hAnsi="宋体" w:eastAsia="仿宋_GB2312" w:cs="仿宋_GB2312"/>
          <w:kern w:val="0"/>
          <w:sz w:val="32"/>
          <w:szCs w:val="32"/>
          <w:highlight w:val="none"/>
        </w:rPr>
        <w:t>。年初结转结余</w:t>
      </w:r>
      <w:r>
        <w:rPr>
          <w:rFonts w:hint="eastAsia" w:ascii="仿宋_GB2312" w:hAnsi="宋体" w:eastAsia="仿宋_GB2312" w:cs="仿宋_GB2312"/>
          <w:kern w:val="0"/>
          <w:sz w:val="32"/>
          <w:szCs w:val="32"/>
          <w:highlight w:val="none"/>
          <w:lang w:val="en-US" w:eastAsia="zh-CN"/>
        </w:rPr>
        <w:t>0</w:t>
      </w:r>
      <w:r>
        <w:rPr>
          <w:rFonts w:hint="eastAsia" w:ascii="仿宋_GB2312" w:hAnsi="宋体" w:eastAsia="仿宋_GB2312" w:cs="仿宋_GB2312"/>
          <w:kern w:val="0"/>
          <w:sz w:val="32"/>
          <w:szCs w:val="32"/>
          <w:highlight w:val="none"/>
        </w:rPr>
        <w:t>万元，较202</w:t>
      </w:r>
      <w:r>
        <w:rPr>
          <w:rFonts w:hint="eastAsia" w:ascii="仿宋_GB2312" w:hAnsi="宋体" w:eastAsia="仿宋_GB2312" w:cs="仿宋_GB2312"/>
          <w:kern w:val="0"/>
          <w:sz w:val="32"/>
          <w:szCs w:val="32"/>
          <w:highlight w:val="none"/>
          <w:lang w:val="en-US" w:eastAsia="zh-CN"/>
        </w:rPr>
        <w:t>1</w:t>
      </w:r>
      <w:r>
        <w:rPr>
          <w:rFonts w:hint="eastAsia" w:ascii="仿宋_GB2312" w:hAnsi="宋体" w:eastAsia="仿宋_GB2312" w:cs="仿宋_GB2312"/>
          <w:kern w:val="0"/>
          <w:sz w:val="32"/>
          <w:szCs w:val="32"/>
          <w:highlight w:val="none"/>
        </w:rPr>
        <w:t>年度决算数增加</w:t>
      </w:r>
      <w:r>
        <w:rPr>
          <w:rFonts w:hint="eastAsia" w:ascii="仿宋_GB2312" w:hAnsi="宋体" w:eastAsia="仿宋_GB2312" w:cs="仿宋_GB2312"/>
          <w:kern w:val="0"/>
          <w:sz w:val="32"/>
          <w:szCs w:val="32"/>
          <w:highlight w:val="none"/>
          <w:lang w:val="en-US" w:eastAsia="zh-CN"/>
        </w:rPr>
        <w:t>0</w:t>
      </w:r>
      <w:r>
        <w:rPr>
          <w:rFonts w:hint="eastAsia" w:ascii="仿宋_GB2312" w:hAnsi="宋体" w:eastAsia="仿宋_GB2312" w:cs="仿宋_GB2312"/>
          <w:kern w:val="0"/>
          <w:sz w:val="32"/>
          <w:szCs w:val="32"/>
          <w:highlight w:val="none"/>
        </w:rPr>
        <w:t>万元，增长</w:t>
      </w:r>
      <w:r>
        <w:rPr>
          <w:rFonts w:hint="eastAsia" w:ascii="仿宋_GB2312" w:hAnsi="宋体" w:eastAsia="仿宋_GB2312" w:cs="仿宋_GB2312"/>
          <w:kern w:val="0"/>
          <w:sz w:val="32"/>
          <w:szCs w:val="32"/>
          <w:highlight w:val="none"/>
          <w:lang w:val="en-US" w:eastAsia="zh-CN"/>
        </w:rPr>
        <w:t>0</w:t>
      </w:r>
      <w:r>
        <w:rPr>
          <w:rFonts w:hint="eastAsia" w:ascii="仿宋_GB2312" w:hAnsi="宋体" w:eastAsia="仿宋_GB2312" w:cs="仿宋_GB2312"/>
          <w:kern w:val="0"/>
          <w:sz w:val="32"/>
          <w:szCs w:val="32"/>
          <w:highlight w:val="none"/>
        </w:rPr>
        <w:t>%，主要原因是</w:t>
      </w:r>
      <w:r>
        <w:rPr>
          <w:rFonts w:hint="eastAsia" w:ascii="仿宋_GB2312" w:hAnsi="宋体" w:eastAsia="仿宋_GB2312" w:cs="仿宋_GB2312"/>
          <w:kern w:val="0"/>
          <w:sz w:val="32"/>
          <w:szCs w:val="32"/>
          <w:highlight w:val="none"/>
          <w:lang w:val="en-US" w:eastAsia="zh-CN"/>
        </w:rPr>
        <w:t>2021年末有结转结余但未结转过来</w:t>
      </w:r>
      <w:r>
        <w:rPr>
          <w:rFonts w:hint="eastAsia" w:ascii="仿宋_GB2312" w:hAnsi="宋体" w:eastAsia="仿宋_GB2312" w:cs="仿宋_GB2312"/>
          <w:kern w:val="0"/>
          <w:sz w:val="32"/>
          <w:szCs w:val="32"/>
          <w:highlight w:val="none"/>
        </w:rPr>
        <w:t>。结余分配0.00万元，主要是</w:t>
      </w:r>
      <w:r>
        <w:rPr>
          <w:rFonts w:hint="eastAsia" w:ascii="仿宋_GB2312" w:hAnsi="宋体" w:eastAsia="仿宋_GB2312" w:cs="仿宋_GB2312"/>
          <w:kern w:val="0"/>
          <w:sz w:val="32"/>
          <w:szCs w:val="32"/>
          <w:highlight w:val="none"/>
          <w:lang w:val="en-US" w:eastAsia="zh-CN"/>
        </w:rPr>
        <w:t>2022年度出现资金缺口</w:t>
      </w:r>
      <w:r>
        <w:rPr>
          <w:rFonts w:hint="eastAsia" w:ascii="仿宋_GB2312" w:hAnsi="宋体" w:eastAsia="仿宋_GB2312" w:cs="仿宋_GB2312"/>
          <w:kern w:val="0"/>
          <w:sz w:val="32"/>
          <w:szCs w:val="32"/>
          <w:highlight w:val="none"/>
        </w:rPr>
        <w:t>，较202</w:t>
      </w:r>
      <w:r>
        <w:rPr>
          <w:rFonts w:hint="eastAsia" w:ascii="仿宋_GB2312" w:hAnsi="宋体" w:eastAsia="仿宋_GB2312" w:cs="仿宋_GB2312"/>
          <w:kern w:val="0"/>
          <w:sz w:val="32"/>
          <w:szCs w:val="32"/>
          <w:highlight w:val="none"/>
          <w:lang w:val="en-US" w:eastAsia="zh-CN"/>
        </w:rPr>
        <w:t>1</w:t>
      </w:r>
      <w:r>
        <w:rPr>
          <w:rFonts w:hint="eastAsia" w:ascii="仿宋_GB2312" w:hAnsi="宋体" w:eastAsia="仿宋_GB2312" w:cs="仿宋_GB2312"/>
          <w:kern w:val="0"/>
          <w:sz w:val="32"/>
          <w:szCs w:val="32"/>
          <w:highlight w:val="none"/>
        </w:rPr>
        <w:t>年度决算数增加</w:t>
      </w:r>
      <w:r>
        <w:rPr>
          <w:rFonts w:hint="eastAsia" w:ascii="仿宋_GB2312" w:hAnsi="宋体" w:eastAsia="仿宋_GB2312" w:cs="仿宋_GB2312"/>
          <w:kern w:val="0"/>
          <w:sz w:val="32"/>
          <w:szCs w:val="32"/>
          <w:highlight w:val="none"/>
          <w:lang w:val="en-US" w:eastAsia="zh-CN"/>
        </w:rPr>
        <w:t>0</w:t>
      </w:r>
      <w:r>
        <w:rPr>
          <w:rFonts w:hint="eastAsia" w:ascii="仿宋_GB2312" w:hAnsi="宋体" w:eastAsia="仿宋_GB2312" w:cs="仿宋_GB2312"/>
          <w:kern w:val="0"/>
          <w:sz w:val="32"/>
          <w:szCs w:val="32"/>
          <w:highlight w:val="none"/>
        </w:rPr>
        <w:t>万元，增长</w:t>
      </w:r>
      <w:r>
        <w:rPr>
          <w:rFonts w:hint="eastAsia" w:ascii="仿宋_GB2312" w:hAnsi="宋体" w:eastAsia="仿宋_GB2312" w:cs="仿宋_GB2312"/>
          <w:kern w:val="0"/>
          <w:sz w:val="32"/>
          <w:szCs w:val="32"/>
          <w:highlight w:val="none"/>
          <w:lang w:val="en-US" w:eastAsia="zh-CN"/>
        </w:rPr>
        <w:t>0</w:t>
      </w:r>
      <w:r>
        <w:rPr>
          <w:rFonts w:hint="eastAsia" w:ascii="仿宋_GB2312" w:hAnsi="宋体" w:eastAsia="仿宋_GB2312" w:cs="仿宋_GB2312"/>
          <w:kern w:val="0"/>
          <w:sz w:val="32"/>
          <w:szCs w:val="32"/>
          <w:highlight w:val="none"/>
        </w:rPr>
        <w:t>%，主要原因是</w:t>
      </w:r>
      <w:r>
        <w:rPr>
          <w:rFonts w:hint="eastAsia" w:ascii="仿宋_GB2312" w:hAnsi="宋体" w:eastAsia="仿宋_GB2312" w:cs="仿宋_GB2312"/>
          <w:kern w:val="0"/>
          <w:sz w:val="32"/>
          <w:szCs w:val="32"/>
          <w:highlight w:val="none"/>
          <w:lang w:val="en-US" w:eastAsia="zh-CN"/>
        </w:rPr>
        <w:t>2021年度无结余分配</w:t>
      </w:r>
      <w:r>
        <w:rPr>
          <w:rFonts w:hint="eastAsia" w:ascii="仿宋_GB2312" w:hAnsi="宋体" w:eastAsia="仿宋_GB2312" w:cs="仿宋_GB2312"/>
          <w:kern w:val="0"/>
          <w:sz w:val="32"/>
          <w:szCs w:val="32"/>
          <w:highlight w:val="none"/>
        </w:rPr>
        <w:t>。年末结转结余</w:t>
      </w:r>
      <w:r>
        <w:rPr>
          <w:rFonts w:hint="eastAsia" w:ascii="仿宋_GB2312" w:hAnsi="宋体" w:eastAsia="仿宋_GB2312" w:cs="仿宋_GB2312"/>
          <w:kern w:val="0"/>
          <w:sz w:val="32"/>
          <w:szCs w:val="32"/>
          <w:highlight w:val="none"/>
          <w:lang w:val="en-US" w:eastAsia="zh-CN"/>
        </w:rPr>
        <w:t>0</w:t>
      </w:r>
      <w:r>
        <w:rPr>
          <w:rFonts w:hint="eastAsia" w:ascii="仿宋_GB2312" w:hAnsi="宋体" w:eastAsia="仿宋_GB2312" w:cs="仿宋_GB2312"/>
          <w:kern w:val="0"/>
          <w:sz w:val="32"/>
          <w:szCs w:val="32"/>
          <w:highlight w:val="none"/>
        </w:rPr>
        <w:t>万元，主要是</w:t>
      </w:r>
      <w:r>
        <w:rPr>
          <w:rFonts w:hint="eastAsia" w:ascii="仿宋_GB2312" w:hAnsi="宋体" w:eastAsia="仿宋_GB2312" w:cs="仿宋_GB2312"/>
          <w:kern w:val="0"/>
          <w:sz w:val="32"/>
          <w:szCs w:val="32"/>
          <w:highlight w:val="none"/>
          <w:lang w:eastAsia="zh-CN"/>
        </w:rPr>
        <w:t>结转结余年末实有资金</w:t>
      </w:r>
      <w:r>
        <w:rPr>
          <w:rFonts w:hint="eastAsia" w:ascii="仿宋_GB2312" w:hAnsi="宋体" w:eastAsia="仿宋_GB2312" w:cs="仿宋_GB2312"/>
          <w:kern w:val="0"/>
          <w:sz w:val="32"/>
          <w:szCs w:val="32"/>
          <w:highlight w:val="none"/>
        </w:rPr>
        <w:t>，较202</w:t>
      </w:r>
      <w:r>
        <w:rPr>
          <w:rFonts w:hint="eastAsia" w:ascii="仿宋_GB2312" w:hAnsi="宋体" w:eastAsia="仿宋_GB2312" w:cs="仿宋_GB2312"/>
          <w:kern w:val="0"/>
          <w:sz w:val="32"/>
          <w:szCs w:val="32"/>
          <w:highlight w:val="none"/>
          <w:lang w:val="en-US" w:eastAsia="zh-CN"/>
        </w:rPr>
        <w:t>1</w:t>
      </w:r>
      <w:r>
        <w:rPr>
          <w:rFonts w:hint="eastAsia" w:ascii="仿宋_GB2312" w:hAnsi="宋体" w:eastAsia="仿宋_GB2312" w:cs="仿宋_GB2312"/>
          <w:kern w:val="0"/>
          <w:sz w:val="32"/>
          <w:szCs w:val="32"/>
          <w:highlight w:val="none"/>
        </w:rPr>
        <w:t>年度决算数</w:t>
      </w:r>
      <w:r>
        <w:rPr>
          <w:rFonts w:hint="eastAsia" w:ascii="仿宋_GB2312" w:hAnsi="宋体" w:eastAsia="仿宋_GB2312" w:cs="仿宋_GB2312"/>
          <w:kern w:val="0"/>
          <w:sz w:val="32"/>
          <w:szCs w:val="32"/>
          <w:highlight w:val="none"/>
          <w:lang w:eastAsia="zh-CN"/>
        </w:rPr>
        <w:t>减少</w:t>
      </w:r>
      <w:r>
        <w:rPr>
          <w:rFonts w:hint="eastAsia" w:ascii="仿宋_GB2312" w:hAnsi="宋体" w:eastAsia="仿宋_GB2312" w:cs="仿宋_GB2312"/>
          <w:kern w:val="0"/>
          <w:sz w:val="32"/>
          <w:szCs w:val="32"/>
          <w:highlight w:val="none"/>
          <w:lang w:val="en-US" w:eastAsia="zh-CN"/>
        </w:rPr>
        <w:t>0</w:t>
      </w:r>
      <w:r>
        <w:rPr>
          <w:rFonts w:hint="eastAsia" w:ascii="仿宋_GB2312" w:hAnsi="宋体" w:eastAsia="仿宋_GB2312" w:cs="仿宋_GB2312"/>
          <w:kern w:val="0"/>
          <w:sz w:val="32"/>
          <w:szCs w:val="32"/>
          <w:highlight w:val="none"/>
        </w:rPr>
        <w:t>万元，下降</w:t>
      </w:r>
      <w:r>
        <w:rPr>
          <w:rFonts w:hint="eastAsia" w:ascii="仿宋_GB2312" w:hAnsi="宋体" w:eastAsia="仿宋_GB2312" w:cs="仿宋_GB2312"/>
          <w:kern w:val="0"/>
          <w:sz w:val="32"/>
          <w:szCs w:val="32"/>
          <w:highlight w:val="none"/>
          <w:lang w:val="en-US" w:eastAsia="zh-CN"/>
        </w:rPr>
        <w:t>0</w:t>
      </w:r>
      <w:r>
        <w:rPr>
          <w:rFonts w:hint="eastAsia" w:ascii="仿宋_GB2312" w:hAnsi="宋体" w:eastAsia="仿宋_GB2312" w:cs="仿宋_GB2312"/>
          <w:kern w:val="0"/>
          <w:sz w:val="32"/>
          <w:szCs w:val="32"/>
          <w:highlight w:val="none"/>
        </w:rPr>
        <w:t>%，主要原因是</w:t>
      </w:r>
      <w:r>
        <w:rPr>
          <w:rFonts w:hint="eastAsia" w:ascii="仿宋_GB2312" w:hAnsi="宋体" w:eastAsia="仿宋_GB2312" w:cs="仿宋_GB2312"/>
          <w:kern w:val="0"/>
          <w:sz w:val="32"/>
          <w:szCs w:val="32"/>
          <w:highlight w:val="none"/>
          <w:lang w:val="en-US" w:eastAsia="zh-CN"/>
        </w:rPr>
        <w:t>2022年度无结转结余</w:t>
      </w:r>
      <w:r>
        <w:rPr>
          <w:rFonts w:hint="eastAsia" w:ascii="仿宋_GB2312" w:hAnsi="宋体" w:eastAsia="仿宋_GB2312" w:cs="仿宋_GB2312"/>
          <w:kern w:val="0"/>
          <w:sz w:val="32"/>
          <w:szCs w:val="32"/>
          <w:highlight w:val="none"/>
        </w:rPr>
        <w:t>。</w:t>
      </w:r>
    </w:p>
    <w:p>
      <w:pPr>
        <w:ind w:firstLine="640" w:firstLineChars="200"/>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本年收入合计</w:t>
      </w:r>
      <w:r>
        <w:rPr>
          <w:rFonts w:hint="eastAsia" w:ascii="仿宋_GB2312" w:hAnsi="ˎ̥" w:eastAsia="仿宋_GB2312"/>
          <w:sz w:val="32"/>
          <w:szCs w:val="32"/>
          <w:lang w:val="en-US" w:eastAsia="zh-CN"/>
        </w:rPr>
        <w:t>294.68</w:t>
      </w:r>
      <w:r>
        <w:rPr>
          <w:rFonts w:hint="eastAsia" w:ascii="仿宋_GB2312" w:hAnsi="ˎ̥" w:eastAsia="仿宋_GB2312"/>
          <w:sz w:val="32"/>
          <w:szCs w:val="32"/>
        </w:rPr>
        <w:t>万元，其中：财政拨款收入</w:t>
      </w:r>
      <w:r>
        <w:rPr>
          <w:rFonts w:hint="eastAsia" w:ascii="仿宋_GB2312" w:hAnsi="宋体" w:eastAsia="仿宋_GB2312" w:cs="仿宋_GB2312"/>
          <w:kern w:val="0"/>
          <w:sz w:val="32"/>
          <w:szCs w:val="32"/>
          <w:lang w:val="en-US" w:eastAsia="zh-CN"/>
        </w:rPr>
        <w:t>248.57</w:t>
      </w:r>
      <w:r>
        <w:rPr>
          <w:rFonts w:hint="eastAsia" w:ascii="仿宋_GB2312" w:hAnsi="ˎ̥" w:eastAsia="仿宋_GB2312"/>
          <w:sz w:val="32"/>
          <w:szCs w:val="32"/>
        </w:rPr>
        <w:t>万元，占</w:t>
      </w:r>
      <w:r>
        <w:rPr>
          <w:rFonts w:hint="eastAsia" w:ascii="仿宋_GB2312" w:hAnsi="ˎ̥" w:eastAsia="仿宋_GB2312"/>
          <w:sz w:val="32"/>
          <w:szCs w:val="32"/>
          <w:lang w:val="en-US" w:eastAsia="zh-CN"/>
        </w:rPr>
        <w:t>84.35</w:t>
      </w:r>
      <w:r>
        <w:rPr>
          <w:rFonts w:hint="eastAsia" w:ascii="仿宋_GB2312" w:hAnsi="ˎ̥" w:eastAsia="仿宋_GB2312"/>
          <w:sz w:val="32"/>
          <w:szCs w:val="32"/>
        </w:rPr>
        <w:t>%；</w:t>
      </w:r>
      <w:r>
        <w:rPr>
          <w:rFonts w:hint="eastAsia" w:ascii="仿宋_GB2312" w:hAnsi="ˎ̥" w:eastAsia="仿宋_GB2312"/>
          <w:sz w:val="32"/>
          <w:szCs w:val="32"/>
          <w:lang w:val="en-US" w:eastAsia="zh-CN"/>
        </w:rPr>
        <w:t>其他收入46.11</w:t>
      </w:r>
      <w:r>
        <w:rPr>
          <w:rFonts w:hint="eastAsia" w:ascii="仿宋_GB2312" w:hAnsi="ˎ̥" w:eastAsia="仿宋_GB2312"/>
          <w:sz w:val="32"/>
          <w:szCs w:val="32"/>
        </w:rPr>
        <w:t>万元，占</w:t>
      </w:r>
      <w:r>
        <w:rPr>
          <w:rFonts w:hint="eastAsia" w:ascii="仿宋_GB2312" w:hAnsi="ˎ̥" w:eastAsia="仿宋_GB2312"/>
          <w:sz w:val="32"/>
          <w:szCs w:val="32"/>
          <w:lang w:val="en-US" w:eastAsia="zh-CN"/>
        </w:rPr>
        <w:t>15.65</w:t>
      </w:r>
      <w:r>
        <w:rPr>
          <w:rFonts w:hint="eastAsia" w:ascii="仿宋_GB2312" w:hAnsi="ˎ̥" w:eastAsia="仿宋_GB2312"/>
          <w:sz w:val="32"/>
          <w:szCs w:val="32"/>
        </w:rPr>
        <w:t>%。</w:t>
      </w:r>
    </w:p>
    <w:p>
      <w:pPr>
        <w:ind w:firstLine="627" w:firstLineChars="196"/>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本年支出合计</w:t>
      </w:r>
      <w:r>
        <w:rPr>
          <w:rFonts w:hint="eastAsia" w:ascii="仿宋_GB2312" w:hAnsi="ˎ̥" w:eastAsia="仿宋_GB2312"/>
          <w:sz w:val="32"/>
          <w:szCs w:val="32"/>
          <w:lang w:val="en-US" w:eastAsia="zh-CN"/>
        </w:rPr>
        <w:t>294.68</w:t>
      </w:r>
      <w:r>
        <w:rPr>
          <w:rFonts w:hint="eastAsia" w:ascii="仿宋_GB2312" w:hAnsi="ˎ̥" w:eastAsia="仿宋_GB2312"/>
          <w:sz w:val="32"/>
          <w:szCs w:val="32"/>
        </w:rPr>
        <w:t>万元，其中：基本支出</w:t>
      </w:r>
      <w:r>
        <w:rPr>
          <w:rFonts w:hint="eastAsia" w:ascii="仿宋_GB2312" w:hAnsi="仿宋_GB2312" w:eastAsia="仿宋_GB2312" w:cs="仿宋_GB2312"/>
          <w:color w:val="0D0D0D"/>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%；项目支出</w:t>
      </w:r>
      <w:r>
        <w:rPr>
          <w:rFonts w:hint="eastAsia" w:ascii="仿宋_GB2312" w:hAnsi="ˎ̥" w:eastAsia="仿宋_GB2312"/>
          <w:sz w:val="32"/>
          <w:szCs w:val="32"/>
          <w:lang w:val="en-US" w:eastAsia="zh-CN"/>
        </w:rPr>
        <w:t>294.68</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w:t>
      </w:r>
      <w:r>
        <w:rPr>
          <w:rFonts w:hint="eastAsia" w:ascii="仿宋_GB2312" w:hAnsi="ˎ̥" w:eastAsia="仿宋_GB2312"/>
          <w:sz w:val="32"/>
          <w:szCs w:val="32"/>
          <w:lang w:eastAsia="zh-CN"/>
        </w:rPr>
        <w:t>无</w:t>
      </w:r>
      <w:r>
        <w:rPr>
          <w:rFonts w:hint="eastAsia" w:ascii="仿宋_GB2312" w:hAnsi="ˎ̥" w:eastAsia="仿宋_GB2312"/>
          <w:sz w:val="32"/>
          <w:szCs w:val="32"/>
        </w:rPr>
        <w:t>上缴上级支出；</w:t>
      </w:r>
      <w:r>
        <w:rPr>
          <w:rFonts w:hint="eastAsia" w:ascii="仿宋_GB2312" w:hAnsi="ˎ̥" w:eastAsia="仿宋_GB2312"/>
          <w:sz w:val="32"/>
          <w:szCs w:val="32"/>
          <w:lang w:eastAsia="zh-CN"/>
        </w:rPr>
        <w:t>无</w:t>
      </w:r>
      <w:r>
        <w:rPr>
          <w:rFonts w:hint="eastAsia" w:ascii="仿宋_GB2312" w:hAnsi="ˎ̥" w:eastAsia="仿宋_GB2312"/>
          <w:sz w:val="32"/>
          <w:szCs w:val="32"/>
        </w:rPr>
        <w:t>经营支出；</w:t>
      </w:r>
      <w:r>
        <w:rPr>
          <w:rFonts w:hint="eastAsia" w:ascii="仿宋_GB2312" w:hAnsi="ˎ̥" w:eastAsia="仿宋_GB2312"/>
          <w:sz w:val="32"/>
          <w:szCs w:val="32"/>
          <w:lang w:eastAsia="zh-CN"/>
        </w:rPr>
        <w:t>无</w:t>
      </w:r>
      <w:r>
        <w:rPr>
          <w:rFonts w:hint="eastAsia" w:ascii="仿宋_GB2312" w:hAnsi="ˎ̥" w:eastAsia="仿宋_GB2312"/>
          <w:sz w:val="32"/>
          <w:szCs w:val="32"/>
        </w:rPr>
        <w:t>对附属单位补助支出。</w:t>
      </w:r>
    </w:p>
    <w:p>
      <w:pPr>
        <w:ind w:firstLine="627" w:firstLineChars="196"/>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ind w:firstLine="640" w:firstLineChars="200"/>
        <w:rPr>
          <w:rFonts w:hint="eastAsia" w:ascii="仿宋_GB2312" w:hAnsi="ˎ̥" w:eastAsia="仿宋_GB2312"/>
          <w:color w:val="FF0000"/>
          <w:sz w:val="32"/>
          <w:szCs w:val="32"/>
        </w:rPr>
      </w:pPr>
      <w:r>
        <w:rPr>
          <w:rFonts w:hint="eastAsia" w:ascii="仿宋_GB2312" w:hAnsi="ˎ̥" w:eastAsia="仿宋_GB2312"/>
          <w:color w:val="000000" w:themeColor="text1"/>
          <w:sz w:val="32"/>
          <w:szCs w:val="32"/>
          <w:lang w:val="en-US" w:eastAsia="zh-CN"/>
          <w14:textFill>
            <w14:solidFill>
              <w14:schemeClr w14:val="tx1"/>
            </w14:solidFill>
          </w14:textFill>
        </w:rPr>
        <w:t>2022</w:t>
      </w:r>
      <w:r>
        <w:rPr>
          <w:rFonts w:hint="eastAsia" w:ascii="仿宋_GB2312" w:hAnsi="ˎ̥" w:eastAsia="仿宋_GB2312"/>
          <w:color w:val="000000" w:themeColor="text1"/>
          <w:sz w:val="32"/>
          <w:szCs w:val="32"/>
          <w14:textFill>
            <w14:solidFill>
              <w14:schemeClr w14:val="tx1"/>
            </w14:solidFill>
          </w14:textFill>
        </w:rPr>
        <w:t>年度财政拨款收入</w:t>
      </w:r>
      <w:r>
        <w:rPr>
          <w:rFonts w:hint="eastAsia" w:ascii="仿宋_GB2312" w:hAnsi="ˎ̥" w:eastAsia="仿宋_GB2312"/>
          <w:color w:val="000000" w:themeColor="text1"/>
          <w:sz w:val="32"/>
          <w:szCs w:val="32"/>
          <w:lang w:eastAsia="zh-CN"/>
          <w14:textFill>
            <w14:solidFill>
              <w14:schemeClr w14:val="tx1"/>
            </w14:solidFill>
          </w14:textFill>
        </w:rPr>
        <w:t>总计</w:t>
      </w:r>
      <w:r>
        <w:rPr>
          <w:rFonts w:hint="eastAsia" w:ascii="仿宋_GB2312" w:hAnsi="ˎ̥" w:eastAsia="仿宋_GB2312"/>
          <w:color w:val="000000" w:themeColor="text1"/>
          <w:sz w:val="32"/>
          <w:szCs w:val="32"/>
          <w:lang w:val="en-US" w:eastAsia="zh-CN"/>
          <w14:textFill>
            <w14:solidFill>
              <w14:schemeClr w14:val="tx1"/>
            </w14:solidFill>
          </w14:textFill>
        </w:rPr>
        <w:t>248.57万元，</w:t>
      </w:r>
      <w:r>
        <w:rPr>
          <w:rFonts w:hint="eastAsia" w:ascii="仿宋_GB2312" w:hAnsi="ˎ̥" w:eastAsia="仿宋_GB2312"/>
          <w:color w:val="000000" w:themeColor="text1"/>
          <w:sz w:val="32"/>
          <w:szCs w:val="32"/>
          <w14:textFill>
            <w14:solidFill>
              <w14:schemeClr w14:val="tx1"/>
            </w14:solidFill>
          </w14:textFill>
        </w:rPr>
        <w:t>支出总计</w:t>
      </w:r>
      <w:r>
        <w:rPr>
          <w:rFonts w:hint="eastAsia" w:ascii="仿宋_GB2312" w:hAnsi="ˎ̥" w:eastAsia="仿宋_GB2312"/>
          <w:color w:val="000000" w:themeColor="text1"/>
          <w:sz w:val="32"/>
          <w:szCs w:val="32"/>
          <w:lang w:val="en-US" w:eastAsia="zh-CN"/>
          <w14:textFill>
            <w14:solidFill>
              <w14:schemeClr w14:val="tx1"/>
            </w14:solidFill>
          </w14:textFill>
        </w:rPr>
        <w:t>248.57</w:t>
      </w:r>
      <w:r>
        <w:rPr>
          <w:rFonts w:hint="eastAsia" w:ascii="仿宋_GB2312" w:hAnsi="ˎ̥" w:eastAsia="仿宋_GB2312"/>
          <w:color w:val="000000" w:themeColor="text1"/>
          <w:sz w:val="32"/>
          <w:szCs w:val="32"/>
          <w14:textFill>
            <w14:solidFill>
              <w14:schemeClr w14:val="tx1"/>
            </w14:solidFill>
          </w14:textFill>
        </w:rPr>
        <w:t>万元。与20</w:t>
      </w:r>
      <w:r>
        <w:rPr>
          <w:rFonts w:hint="eastAsia" w:ascii="仿宋_GB2312" w:hAnsi="ˎ̥" w:eastAsia="仿宋_GB2312"/>
          <w:color w:val="000000" w:themeColor="text1"/>
          <w:sz w:val="32"/>
          <w:szCs w:val="32"/>
          <w:lang w:val="en-US" w:eastAsia="zh-CN"/>
          <w14:textFill>
            <w14:solidFill>
              <w14:schemeClr w14:val="tx1"/>
            </w14:solidFill>
          </w14:textFill>
        </w:rPr>
        <w:t>21</w:t>
      </w:r>
      <w:r>
        <w:rPr>
          <w:rFonts w:hint="eastAsia" w:ascii="仿宋_GB2312" w:hAnsi="ˎ̥" w:eastAsia="仿宋_GB2312"/>
          <w:color w:val="000000" w:themeColor="text1"/>
          <w:sz w:val="32"/>
          <w:szCs w:val="32"/>
          <w14:textFill>
            <w14:solidFill>
              <w14:schemeClr w14:val="tx1"/>
            </w14:solidFill>
          </w14:textFill>
        </w:rPr>
        <w:t>年度相比，财政拨款收入、支出</w:t>
      </w:r>
      <w:r>
        <w:rPr>
          <w:rFonts w:hint="eastAsia" w:ascii="仿宋_GB2312" w:hAnsi="ˎ̥" w:eastAsia="仿宋_GB2312"/>
          <w:color w:val="auto"/>
          <w:sz w:val="32"/>
          <w:szCs w:val="32"/>
        </w:rPr>
        <w:t>总计各</w:t>
      </w:r>
      <w:r>
        <w:rPr>
          <w:rFonts w:hint="eastAsia" w:ascii="仿宋_GB2312" w:hAnsi="ˎ̥" w:eastAsia="仿宋_GB2312"/>
          <w:color w:val="auto"/>
          <w:sz w:val="32"/>
          <w:szCs w:val="32"/>
          <w:lang w:eastAsia="zh-CN"/>
        </w:rPr>
        <w:t>减少</w:t>
      </w:r>
      <w:r>
        <w:rPr>
          <w:rFonts w:hint="eastAsia" w:ascii="仿宋_GB2312" w:hAnsi="ˎ̥" w:eastAsia="仿宋_GB2312"/>
          <w:color w:val="auto"/>
          <w:sz w:val="32"/>
          <w:szCs w:val="32"/>
          <w:lang w:val="en-US" w:eastAsia="zh-CN"/>
        </w:rPr>
        <w:t>20.84万元、20.84</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减少</w:t>
      </w:r>
      <w:r>
        <w:rPr>
          <w:rFonts w:hint="eastAsia" w:ascii="仿宋_GB2312" w:hAnsi="ˎ̥" w:eastAsia="仿宋_GB2312"/>
          <w:color w:val="auto"/>
          <w:sz w:val="32"/>
          <w:szCs w:val="32"/>
          <w:lang w:val="en-US" w:eastAsia="zh-CN"/>
        </w:rPr>
        <w:t>7.74</w:t>
      </w:r>
      <w:r>
        <w:rPr>
          <w:rFonts w:hint="eastAsia" w:ascii="仿宋_GB2312" w:hAnsi="ˎ̥" w:eastAsia="仿宋_GB2312"/>
          <w:color w:val="auto"/>
          <w:sz w:val="32"/>
          <w:szCs w:val="32"/>
        </w:rPr>
        <w:t>%。</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color w:val="000000" w:themeColor="text1"/>
          <w:sz w:val="32"/>
          <w:szCs w:val="32"/>
          <w:lang w:eastAsia="zh-CN"/>
          <w14:textFill>
            <w14:solidFill>
              <w14:schemeClr w14:val="tx1"/>
            </w14:solidFill>
          </w14:textFill>
        </w:rPr>
        <w:t>是</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sz w:val="32"/>
          <w:szCs w:val="32"/>
          <w:lang w:val="en-US" w:eastAsia="zh-CN"/>
        </w:rPr>
        <w:t>2021年区政府移交区政府二办至马岭大社区管理，所需经费增多，但年度预算不足，造成2022年度出现资金缺口。</w:t>
      </w:r>
    </w:p>
    <w:p>
      <w:pPr>
        <w:ind w:firstLine="627" w:firstLineChars="196"/>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ind w:firstLine="640" w:firstLineChars="200"/>
        <w:rPr>
          <w:rFonts w:hint="eastAsia" w:ascii="楷体" w:hAnsi="楷体" w:eastAsia="楷体" w:cs="楷体"/>
          <w:sz w:val="32"/>
          <w:szCs w:val="32"/>
        </w:rPr>
      </w:pPr>
      <w:bookmarkStart w:id="78" w:name="_Toc17398_WPSOffice_Level2"/>
      <w:bookmarkStart w:id="79" w:name="_Toc13694_WPSOffice_Level2"/>
      <w:bookmarkStart w:id="80" w:name="_Toc9989_WPSOffice_Level2"/>
      <w:bookmarkStart w:id="81" w:name="_Toc19665_WPSOffice_Level2"/>
      <w:bookmarkStart w:id="82" w:name="_Toc21737_WPSOffice_Level2"/>
      <w:bookmarkStart w:id="83" w:name="_Toc23005_WPSOffice_Level2"/>
      <w:r>
        <w:rPr>
          <w:rFonts w:hint="eastAsia" w:ascii="楷体" w:hAnsi="楷体" w:eastAsia="楷体" w:cs="楷体"/>
          <w:sz w:val="32"/>
          <w:szCs w:val="32"/>
        </w:rPr>
        <w:t>（一）一般公共预算财政拨款支出决算总体情况</w:t>
      </w:r>
      <w:bookmarkEnd w:id="78"/>
      <w:bookmarkEnd w:id="79"/>
      <w:r>
        <w:rPr>
          <w:rFonts w:hint="eastAsia" w:ascii="楷体" w:hAnsi="楷体" w:eastAsia="楷体" w:cs="楷体"/>
          <w:sz w:val="32"/>
          <w:szCs w:val="32"/>
        </w:rPr>
        <w:t>。</w:t>
      </w:r>
      <w:bookmarkEnd w:id="80"/>
      <w:bookmarkEnd w:id="81"/>
      <w:bookmarkEnd w:id="82"/>
      <w:bookmarkEnd w:id="83"/>
    </w:p>
    <w:p>
      <w:pPr>
        <w:ind w:firstLine="640" w:firstLineChars="200"/>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20</w:t>
      </w:r>
      <w:r>
        <w:rPr>
          <w:rFonts w:hint="eastAsia" w:ascii="仿宋_GB2312" w:hAnsi="ˎ̥" w:eastAsia="仿宋_GB2312"/>
          <w:color w:val="000000" w:themeColor="text1"/>
          <w:sz w:val="32"/>
          <w:szCs w:val="32"/>
          <w:lang w:val="en-US" w:eastAsia="zh-CN"/>
          <w14:textFill>
            <w14:solidFill>
              <w14:schemeClr w14:val="tx1"/>
            </w14:solidFill>
          </w14:textFill>
        </w:rPr>
        <w:t>22</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eastAsia" w:ascii="仿宋_GB2312" w:hAnsi="ˎ̥" w:eastAsia="仿宋_GB2312"/>
          <w:color w:val="000000" w:themeColor="text1"/>
          <w:sz w:val="32"/>
          <w:szCs w:val="32"/>
          <w:lang w:val="en-US" w:eastAsia="zh-CN"/>
          <w14:textFill>
            <w14:solidFill>
              <w14:schemeClr w14:val="tx1"/>
            </w14:solidFill>
          </w14:textFill>
        </w:rPr>
        <w:t>248.57</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84.35</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highlight w:val="none"/>
          <w14:textFill>
            <w14:solidFill>
              <w14:schemeClr w14:val="tx1"/>
            </w14:solidFill>
          </w14:textFill>
        </w:rPr>
        <w:t>与20</w:t>
      </w:r>
      <w:r>
        <w:rPr>
          <w:rFonts w:hint="eastAsia" w:ascii="仿宋_GB2312" w:hAnsi="ˎ̥" w:eastAsia="仿宋_GB2312"/>
          <w:color w:val="000000" w:themeColor="text1"/>
          <w:sz w:val="32"/>
          <w:szCs w:val="32"/>
          <w:highlight w:val="none"/>
          <w:lang w:val="en-US" w:eastAsia="zh-CN"/>
          <w14:textFill>
            <w14:solidFill>
              <w14:schemeClr w14:val="tx1"/>
            </w14:solidFill>
          </w14:textFill>
        </w:rPr>
        <w:t>21</w:t>
      </w:r>
      <w:r>
        <w:rPr>
          <w:rFonts w:hint="eastAsia" w:ascii="仿宋_GB2312" w:hAnsi="ˎ̥" w:eastAsia="仿宋_GB2312"/>
          <w:color w:val="000000" w:themeColor="text1"/>
          <w:sz w:val="32"/>
          <w:szCs w:val="32"/>
          <w:highlight w:val="none"/>
          <w14:textFill>
            <w14:solidFill>
              <w14:schemeClr w14:val="tx1"/>
            </w14:solidFill>
          </w14:textFill>
        </w:rPr>
        <w:t>年度相比</w:t>
      </w:r>
      <w:r>
        <w:rPr>
          <w:rFonts w:hint="eastAsia" w:ascii="仿宋_GB2312" w:hAnsi="ˎ̥" w:eastAsia="仿宋_GB2312"/>
          <w:color w:val="000000" w:themeColor="text1"/>
          <w:sz w:val="32"/>
          <w:szCs w:val="32"/>
          <w14:textFill>
            <w14:solidFill>
              <w14:schemeClr w14:val="tx1"/>
            </w14:solidFill>
          </w14:textFill>
        </w:rPr>
        <w:t>，财政拨款支出</w:t>
      </w:r>
      <w:r>
        <w:rPr>
          <w:rFonts w:hint="eastAsia" w:ascii="仿宋_GB2312" w:hAnsi="ˎ̥" w:eastAsia="仿宋_GB2312"/>
          <w:color w:val="auto"/>
          <w:sz w:val="32"/>
          <w:szCs w:val="32"/>
          <w:lang w:eastAsia="zh-CN"/>
        </w:rPr>
        <w:t>减少</w:t>
      </w:r>
      <w:r>
        <w:rPr>
          <w:rFonts w:hint="eastAsia" w:ascii="仿宋_GB2312" w:hAnsi="ˎ̥" w:eastAsia="仿宋_GB2312"/>
          <w:color w:val="auto"/>
          <w:sz w:val="32"/>
          <w:szCs w:val="32"/>
          <w:lang w:val="en-US" w:eastAsia="zh-CN"/>
        </w:rPr>
        <w:t>20.84</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减少</w:t>
      </w:r>
      <w:r>
        <w:rPr>
          <w:rFonts w:hint="eastAsia" w:ascii="仿宋_GB2312" w:hAnsi="ˎ̥" w:eastAsia="仿宋_GB2312"/>
          <w:color w:val="auto"/>
          <w:sz w:val="32"/>
          <w:szCs w:val="32"/>
          <w:lang w:val="en-US" w:eastAsia="zh-CN"/>
        </w:rPr>
        <w:t>7.74</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000000" w:themeColor="text1"/>
          <w:sz w:val="32"/>
          <w:szCs w:val="32"/>
          <w:lang w:eastAsia="zh-CN"/>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 xml:space="preserve">: </w:t>
      </w:r>
      <w:r>
        <w:rPr>
          <w:rFonts w:hint="eastAsia" w:ascii="仿宋_GB2312" w:hAnsi="ˎ̥" w:eastAsia="仿宋_GB2312"/>
          <w:sz w:val="32"/>
          <w:szCs w:val="32"/>
          <w:lang w:val="en-US" w:eastAsia="zh-CN"/>
        </w:rPr>
        <w:t>2022年度预算不足</w:t>
      </w:r>
      <w:r>
        <w:rPr>
          <w:rFonts w:hint="eastAsia" w:ascii="仿宋_GB2312" w:hAnsi="ˎ̥" w:eastAsia="仿宋_GB2312"/>
          <w:color w:val="000000" w:themeColor="text1"/>
          <w:sz w:val="32"/>
          <w:szCs w:val="32"/>
          <w:lang w:val="en-US" w:eastAsia="zh-CN"/>
          <w14:textFill>
            <w14:solidFill>
              <w14:schemeClr w14:val="tx1"/>
            </w14:solidFill>
          </w14:textFill>
        </w:rPr>
        <w:t>。</w:t>
      </w:r>
      <w:bookmarkStart w:id="84" w:name="_Toc2711_WPSOffice_Level2"/>
      <w:bookmarkStart w:id="85" w:name="_Toc18793_WPSOffice_Level2"/>
      <w:bookmarkStart w:id="86" w:name="_Toc19535_WPSOffice_Level2"/>
      <w:bookmarkStart w:id="87" w:name="_Toc23864_WPSOffice_Level2"/>
      <w:bookmarkStart w:id="88" w:name="_Toc27767_WPSOffice_Level2"/>
      <w:bookmarkStart w:id="89" w:name="_Toc19075_WPSOffice_Level2"/>
    </w:p>
    <w:p>
      <w:pPr>
        <w:ind w:firstLine="640" w:firstLineChars="200"/>
        <w:rPr>
          <w:rFonts w:hint="eastAsia"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一般公共预算</w:t>
      </w:r>
      <w:r>
        <w:rPr>
          <w:rFonts w:hint="eastAsia" w:ascii="楷体" w:hAnsi="楷体" w:eastAsia="楷体" w:cs="楷体"/>
          <w:sz w:val="32"/>
          <w:szCs w:val="32"/>
        </w:rPr>
        <w:t>财政拨款支出决算结构情况</w:t>
      </w:r>
      <w:bookmarkEnd w:id="84"/>
      <w:bookmarkEnd w:id="85"/>
      <w:r>
        <w:rPr>
          <w:rFonts w:hint="eastAsia" w:ascii="楷体" w:hAnsi="楷体" w:eastAsia="楷体" w:cs="楷体"/>
          <w:sz w:val="32"/>
          <w:szCs w:val="32"/>
        </w:rPr>
        <w:t>。</w:t>
      </w:r>
      <w:bookmarkEnd w:id="86"/>
      <w:bookmarkEnd w:id="87"/>
      <w:bookmarkEnd w:id="88"/>
      <w:bookmarkEnd w:id="89"/>
    </w:p>
    <w:p>
      <w:pPr>
        <w:ind w:firstLine="640" w:firstLineChars="200"/>
        <w:rPr>
          <w:rFonts w:hint="eastAsia" w:ascii="仿宋_GB2312" w:hAnsi="ˎ̥" w:eastAsia="仿宋_GB2312"/>
          <w:color w:val="FF0000"/>
          <w:sz w:val="32"/>
          <w:szCs w:val="32"/>
          <w:lang w:eastAsia="zh-CN"/>
        </w:rPr>
      </w:pPr>
      <w:r>
        <w:rPr>
          <w:rFonts w:hint="eastAsia" w:ascii="仿宋_GB2312" w:hAnsi="ˎ̥" w:eastAsia="仿宋_GB2312"/>
          <w:color w:val="000000" w:themeColor="text1"/>
          <w:sz w:val="32"/>
          <w:szCs w:val="32"/>
          <w:lang w:val="en-US" w:eastAsia="zh-CN"/>
          <w14:textFill>
            <w14:solidFill>
              <w14:schemeClr w14:val="tx1"/>
            </w14:solidFill>
          </w14:textFill>
        </w:rPr>
        <w:t>2022</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eastAsia" w:ascii="仿宋_GB2312" w:hAnsi="ˎ̥" w:eastAsia="仿宋_GB2312"/>
          <w:color w:val="000000" w:themeColor="text1"/>
          <w:sz w:val="32"/>
          <w:szCs w:val="32"/>
          <w:lang w:val="en-US" w:eastAsia="zh-CN"/>
          <w14:textFill>
            <w14:solidFill>
              <w14:schemeClr w14:val="tx1"/>
            </w14:solidFill>
          </w14:textFill>
        </w:rPr>
        <w:t>248.57</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color w:val="000000" w:themeColor="text1"/>
          <w:sz w:val="32"/>
          <w:szCs w:val="32"/>
          <w:lang w:eastAsia="zh-CN"/>
          <w14:textFill>
            <w14:solidFill>
              <w14:schemeClr w14:val="tx1"/>
            </w14:solidFill>
          </w14:textFill>
        </w:rPr>
        <w:t>社会保障和就业支出</w:t>
      </w:r>
      <w:r>
        <w:rPr>
          <w:rFonts w:hint="eastAsia" w:ascii="仿宋_GB2312" w:hAnsi="ˎ̥" w:eastAsia="仿宋_GB2312"/>
          <w:color w:val="000000" w:themeColor="text1"/>
          <w:sz w:val="32"/>
          <w:szCs w:val="32"/>
          <w:lang w:val="en-US" w:eastAsia="zh-CN"/>
          <w14:textFill>
            <w14:solidFill>
              <w14:schemeClr w14:val="tx1"/>
            </w14:solidFill>
          </w14:textFill>
        </w:rPr>
        <w:t>245.57万元，</w:t>
      </w:r>
      <w:r>
        <w:rPr>
          <w:rFonts w:hint="eastAsia" w:ascii="仿宋_GB2312" w:hAnsi="ˎ̥" w:eastAsia="仿宋_GB2312"/>
          <w:color w:val="000000" w:themeColor="text1"/>
          <w:sz w:val="32"/>
          <w:szCs w:val="32"/>
          <w14:textFill>
            <w14:solidFill>
              <w14:schemeClr w14:val="tx1"/>
            </w14:solidFill>
          </w14:textFill>
        </w:rPr>
        <w:t>占</w:t>
      </w:r>
      <w:r>
        <w:rPr>
          <w:rFonts w:hint="eastAsia" w:ascii="仿宋_GB2312" w:hAnsi="ˎ̥" w:eastAsia="仿宋_GB2312"/>
          <w:color w:val="000000" w:themeColor="text1"/>
          <w:sz w:val="32"/>
          <w:szCs w:val="32"/>
          <w:lang w:val="en-US" w:eastAsia="zh-CN"/>
          <w14:textFill>
            <w14:solidFill>
              <w14:schemeClr w14:val="tx1"/>
            </w14:solidFill>
          </w14:textFill>
        </w:rPr>
        <w:t>98.79</w:t>
      </w:r>
      <w:r>
        <w:rPr>
          <w:rFonts w:hint="eastAsia" w:ascii="仿宋_GB2312" w:hAnsi="ˎ̥" w:eastAsia="仿宋_GB2312"/>
          <w:color w:val="000000" w:themeColor="text1"/>
          <w:sz w:val="32"/>
          <w:szCs w:val="32"/>
          <w14:textFill>
            <w14:solidFill>
              <w14:schemeClr w14:val="tx1"/>
            </w14:solidFill>
          </w14:textFill>
        </w:rPr>
        <w:t>%</w:t>
      </w:r>
      <w:bookmarkStart w:id="90" w:name="_Toc21701_WPSOffice_Level2"/>
      <w:bookmarkStart w:id="91" w:name="_Toc15415_WPSOffice_Level2"/>
      <w:bookmarkStart w:id="92" w:name="_Toc25136_WPSOffice_Level2"/>
      <w:bookmarkStart w:id="93" w:name="_Toc9502_WPSOffice_Level2"/>
      <w:bookmarkStart w:id="94" w:name="_Toc22318_WPSOffice_Level2"/>
      <w:bookmarkStart w:id="95" w:name="_Toc29364_WPSOffice_Level2"/>
      <w:r>
        <w:rPr>
          <w:rFonts w:hint="eastAsia" w:ascii="仿宋_GB2312" w:hAnsi="ˎ̥" w:eastAsia="仿宋_GB2312"/>
          <w:color w:val="000000" w:themeColor="text1"/>
          <w:sz w:val="32"/>
          <w:szCs w:val="32"/>
          <w:lang w:eastAsia="zh-CN"/>
          <w14:textFill>
            <w14:solidFill>
              <w14:schemeClr w14:val="tx1"/>
            </w14:solidFill>
          </w14:textFill>
        </w:rPr>
        <w:t>；卫生</w:t>
      </w:r>
      <w:r>
        <w:rPr>
          <w:rFonts w:hint="eastAsia" w:ascii="仿宋_GB2312" w:hAnsi="ˎ̥" w:eastAsia="仿宋_GB2312"/>
          <w:b w:val="0"/>
          <w:bCs/>
          <w:color w:val="000000" w:themeColor="text1"/>
          <w:sz w:val="32"/>
          <w:szCs w:val="32"/>
          <w:lang w:eastAsia="zh-CN"/>
          <w14:textFill>
            <w14:solidFill>
              <w14:schemeClr w14:val="tx1"/>
            </w14:solidFill>
          </w14:textFill>
        </w:rPr>
        <w:t>健康</w:t>
      </w:r>
      <w:r>
        <w:rPr>
          <w:rFonts w:hint="eastAsia" w:ascii="仿宋_GB2312" w:hAnsi="ˎ̥" w:eastAsia="仿宋_GB2312"/>
          <w:b w:val="0"/>
          <w:bCs/>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1.21</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w:t>
      </w:r>
      <w:r>
        <w:rPr>
          <w:rFonts w:hint="eastAsia" w:ascii="楷体" w:hAnsi="楷体" w:eastAsia="楷体" w:cs="楷体"/>
          <w:sz w:val="32"/>
          <w:szCs w:val="32"/>
          <w:lang w:eastAsia="zh-CN"/>
        </w:rPr>
        <w:t>一般公共预算</w:t>
      </w:r>
      <w:r>
        <w:rPr>
          <w:rFonts w:hint="eastAsia" w:ascii="楷体" w:hAnsi="楷体" w:eastAsia="楷体" w:cs="楷体"/>
          <w:sz w:val="32"/>
          <w:szCs w:val="32"/>
        </w:rPr>
        <w:t>财政拨款支出决算具体情况。</w:t>
      </w:r>
      <w:bookmarkEnd w:id="90"/>
      <w:bookmarkEnd w:id="91"/>
      <w:bookmarkEnd w:id="92"/>
      <w:bookmarkEnd w:id="93"/>
      <w:bookmarkEnd w:id="94"/>
      <w:bookmarkEnd w:id="95"/>
    </w:p>
    <w:p>
      <w:pPr>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2022</w:t>
      </w:r>
      <w:r>
        <w:rPr>
          <w:rFonts w:hint="eastAsia" w:ascii="仿宋_GB2312" w:hAnsi="ˎ̥" w:eastAsia="仿宋_GB2312"/>
          <w:color w:val="000000" w:themeColor="text1"/>
          <w:sz w:val="32"/>
          <w:szCs w:val="32"/>
          <w14:textFill>
            <w14:solidFill>
              <w14:schemeClr w14:val="tx1"/>
            </w14:solidFill>
          </w14:textFill>
        </w:rPr>
        <w:t>年度财政拨款支出年初预算为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248.57</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248.57</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%。其中：</w:t>
      </w:r>
    </w:p>
    <w:p>
      <w:pPr>
        <w:ind w:firstLine="640" w:firstLineChars="200"/>
        <w:rPr>
          <w:rFonts w:hint="default" w:ascii="仿宋_GB2312" w:hAnsi="ˎ̥" w:eastAsia="仿宋_GB2312"/>
          <w:color w:val="auto"/>
          <w:sz w:val="32"/>
          <w:szCs w:val="32"/>
          <w:highlight w:val="yellow"/>
          <w:lang w:val="en-US" w:eastAsia="zh-CN"/>
        </w:rPr>
      </w:pPr>
      <w:r>
        <w:rPr>
          <w:rFonts w:ascii="仿宋_GB2312" w:hAnsi="ˎ̥" w:eastAsia="仿宋_GB2312" w:cs="仿宋_GB2312"/>
          <w:kern w:val="0"/>
          <w:sz w:val="32"/>
          <w:szCs w:val="32"/>
          <w:highlight w:val="none"/>
          <w:lang w:val="en-US" w:eastAsia="zh-CN" w:bidi="ar"/>
        </w:rPr>
        <w:t>1.</w:t>
      </w:r>
      <w:r>
        <w:rPr>
          <w:rFonts w:hint="eastAsia" w:ascii="仿宋_GB2312" w:hAnsi="ˎ̥" w:eastAsia="仿宋_GB2312"/>
          <w:b w:val="0"/>
          <w:bCs w:val="0"/>
          <w:color w:val="auto"/>
          <w:sz w:val="32"/>
          <w:szCs w:val="32"/>
          <w:highlight w:val="none"/>
          <w:lang w:val="en-US" w:eastAsia="zh-CN"/>
        </w:rPr>
        <w:t>社会保障和就业支出。</w:t>
      </w:r>
    </w:p>
    <w:p>
      <w:pPr>
        <w:ind w:firstLine="640" w:firstLineChars="200"/>
        <w:rPr>
          <w:rFonts w:hint="eastAsia" w:ascii="仿宋_GB2312" w:hAnsi="ˎ̥" w:eastAsia="仿宋_GB2312"/>
          <w:sz w:val="32"/>
          <w:szCs w:val="32"/>
          <w:lang w:val="en-US" w:eastAsia="zh-CN"/>
        </w:rPr>
      </w:pPr>
      <w:r>
        <w:rPr>
          <w:rFonts w:hint="eastAsia"/>
          <w:lang w:val="en-US" w:eastAsia="zh-CN"/>
        </w:rPr>
        <w:t xml:space="preserve">  </w:t>
      </w:r>
      <w:r>
        <w:rPr>
          <w:rFonts w:hint="eastAsia" w:ascii="仿宋_GB2312" w:hAnsi="ˎ̥" w:eastAsia="仿宋_GB2312"/>
          <w:sz w:val="32"/>
          <w:szCs w:val="32"/>
        </w:rPr>
        <w:t>年初预算为</w:t>
      </w:r>
      <w:r>
        <w:rPr>
          <w:rFonts w:hint="eastAsia" w:ascii="仿宋_GB2312" w:hAnsi="ˎ̥" w:eastAsia="仿宋_GB2312"/>
          <w:sz w:val="32"/>
          <w:szCs w:val="32"/>
          <w:lang w:val="en-US" w:eastAsia="zh-CN"/>
        </w:rPr>
        <w:t>245.57万</w:t>
      </w:r>
      <w:r>
        <w:rPr>
          <w:rFonts w:hint="eastAsia" w:ascii="仿宋_GB2312" w:hAnsi="ˎ̥" w:eastAsia="仿宋_GB2312"/>
          <w:sz w:val="32"/>
          <w:szCs w:val="32"/>
        </w:rPr>
        <w:t>元，支出决算为</w:t>
      </w:r>
      <w:r>
        <w:rPr>
          <w:rFonts w:hint="eastAsia" w:ascii="仿宋_GB2312" w:hAnsi="ˎ̥" w:eastAsia="仿宋_GB2312"/>
          <w:sz w:val="32"/>
          <w:szCs w:val="32"/>
          <w:lang w:val="en-US" w:eastAsia="zh-CN"/>
        </w:rPr>
        <w:t>245.57</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w:t>
      </w:r>
      <w:r>
        <w:rPr>
          <w:rFonts w:hint="eastAsia" w:ascii="仿宋_GB2312" w:hAnsi="ˎ̥" w:eastAsia="仿宋_GB2312"/>
          <w:sz w:val="32"/>
          <w:szCs w:val="32"/>
          <w:lang w:val="en-US" w:eastAsia="zh-CN"/>
        </w:rPr>
        <w:t>。</w:t>
      </w:r>
    </w:p>
    <w:p>
      <w:pPr>
        <w:numPr>
          <w:ilvl w:val="0"/>
          <w:numId w:val="2"/>
        </w:numPr>
        <w:ind w:firstLine="640" w:firstLineChars="200"/>
        <w:rPr>
          <w:rFonts w:hint="eastAsia" w:ascii="仿宋_GB2312" w:hAnsi="ˎ̥" w:eastAsia="仿宋_GB2312"/>
          <w:b w:val="0"/>
          <w:bCs w:val="0"/>
          <w:color w:val="auto"/>
          <w:sz w:val="32"/>
          <w:szCs w:val="32"/>
          <w:highlight w:val="none"/>
          <w:lang w:val="en-US" w:eastAsia="zh-CN"/>
        </w:rPr>
      </w:pPr>
      <w:r>
        <w:rPr>
          <w:rFonts w:hint="eastAsia" w:ascii="仿宋_GB2312" w:hAnsi="ˎ̥" w:eastAsia="仿宋_GB2312"/>
          <w:b w:val="0"/>
          <w:bCs w:val="0"/>
          <w:color w:val="auto"/>
          <w:sz w:val="32"/>
          <w:szCs w:val="32"/>
          <w:highlight w:val="none"/>
          <w:lang w:val="en-US" w:eastAsia="zh-CN"/>
        </w:rPr>
        <w:t>卫生健康支出。</w:t>
      </w:r>
    </w:p>
    <w:p>
      <w:pPr>
        <w:numPr>
          <w:ilvl w:val="0"/>
          <w:numId w:val="0"/>
        </w:numPr>
        <w:rPr>
          <w:rFonts w:hint="eastAsia"/>
          <w:lang w:val="en-US" w:eastAsia="zh-CN"/>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rPr>
        <w:t>年初预算为</w:t>
      </w:r>
      <w:r>
        <w:rPr>
          <w:rFonts w:hint="eastAsia" w:ascii="仿宋_GB2312" w:hAnsi="ˎ̥" w:eastAsia="仿宋_GB2312"/>
          <w:sz w:val="32"/>
          <w:szCs w:val="32"/>
          <w:lang w:val="en-US" w:eastAsia="zh-CN"/>
        </w:rPr>
        <w:t>3万</w:t>
      </w:r>
      <w:r>
        <w:rPr>
          <w:rFonts w:hint="eastAsia" w:ascii="仿宋_GB2312" w:hAnsi="ˎ̥" w:eastAsia="仿宋_GB2312"/>
          <w:sz w:val="32"/>
          <w:szCs w:val="32"/>
        </w:rPr>
        <w:t>元，支出决算为</w:t>
      </w:r>
      <w:r>
        <w:rPr>
          <w:rFonts w:hint="eastAsia" w:ascii="仿宋_GB2312" w:hAnsi="ˎ̥" w:eastAsia="仿宋_GB2312"/>
          <w:sz w:val="32"/>
          <w:szCs w:val="32"/>
          <w:lang w:val="en-US" w:eastAsia="zh-CN"/>
        </w:rPr>
        <w:t>3</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w:t>
      </w:r>
      <w:r>
        <w:rPr>
          <w:rFonts w:hint="eastAsia" w:ascii="仿宋_GB2312" w:hAnsi="ˎ̥" w:eastAsia="仿宋_GB2312"/>
          <w:sz w:val="32"/>
          <w:szCs w:val="32"/>
          <w:lang w:val="en-US" w:eastAsia="zh-CN"/>
        </w:rPr>
        <w:t>。</w:t>
      </w:r>
    </w:p>
    <w:p>
      <w:pPr>
        <w:ind w:firstLine="627" w:firstLineChars="196"/>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tabs>
          <w:tab w:val="center" w:pos="4473"/>
        </w:tabs>
        <w:ind w:firstLine="640" w:firstLineChars="200"/>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20</w:t>
      </w:r>
      <w:r>
        <w:rPr>
          <w:rFonts w:hint="eastAsia" w:ascii="仿宋_GB2312" w:hAnsi="ˎ̥" w:eastAsia="仿宋_GB2312"/>
          <w:color w:val="000000" w:themeColor="text1"/>
          <w:sz w:val="32"/>
          <w:szCs w:val="32"/>
          <w:lang w:val="en-US" w:eastAsia="zh-CN"/>
          <w14:textFill>
            <w14:solidFill>
              <w14:schemeClr w14:val="tx1"/>
            </w14:solidFill>
          </w14:textFill>
        </w:rPr>
        <w:t>22</w:t>
      </w:r>
      <w:r>
        <w:rPr>
          <w:rFonts w:hint="eastAsia" w:ascii="仿宋_GB2312" w:hAnsi="ˎ̥" w:eastAsia="仿宋_GB2312"/>
          <w:color w:val="000000" w:themeColor="text1"/>
          <w:sz w:val="32"/>
          <w:szCs w:val="32"/>
          <w14:textFill>
            <w14:solidFill>
              <w14:schemeClr w14:val="tx1"/>
            </w14:solidFill>
          </w14:textFill>
        </w:rPr>
        <w:t>年度财政拨款基本支出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万元，其中：人员经费</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万元，公用经费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p>
    <w:p>
      <w:pPr>
        <w:tabs>
          <w:tab w:val="center" w:pos="4473"/>
        </w:tabs>
        <w:ind w:firstLine="627" w:firstLineChars="196"/>
        <w:rPr>
          <w:rFonts w:hint="eastAsia" w:ascii="黑体" w:hAnsi="黑体" w:eastAsia="黑体" w:cs="黑体"/>
          <w:bCs/>
          <w:sz w:val="32"/>
          <w:szCs w:val="32"/>
        </w:rPr>
      </w:pPr>
      <w:r>
        <w:rPr>
          <w:rFonts w:hint="eastAsia" w:ascii="黑体" w:hAnsi="黑体" w:eastAsia="黑体" w:cs="黑体"/>
          <w:bCs/>
          <w:sz w:val="32"/>
          <w:szCs w:val="32"/>
        </w:rPr>
        <w:t>七、政府性基金预算财政拨款收入支出决算情况说明</w:t>
      </w:r>
    </w:p>
    <w:p>
      <w:pPr>
        <w:tabs>
          <w:tab w:val="center" w:pos="4473"/>
        </w:tabs>
        <w:ind w:firstLine="640" w:firstLineChars="200"/>
        <w:rPr>
          <w:rFonts w:hint="eastAsia" w:ascii="仿宋_GB2312" w:hAnsi="ˎ̥" w:eastAsia="仿宋_GB2312"/>
          <w:sz w:val="32"/>
          <w:szCs w:val="32"/>
        </w:rPr>
      </w:pPr>
      <w:r>
        <w:rPr>
          <w:rFonts w:hint="eastAsia" w:ascii="仿宋_GB2312" w:hAnsi="ˎ̥" w:eastAsia="仿宋_GB2312"/>
          <w:sz w:val="32"/>
          <w:szCs w:val="32"/>
        </w:rPr>
        <w:t>（一）</w:t>
      </w:r>
      <w:r>
        <w:rPr>
          <w:rFonts w:hint="eastAsia" w:ascii="仿宋_GB2312" w:hAnsi="ˎ̥" w:eastAsia="仿宋_GB2312"/>
          <w:sz w:val="32"/>
          <w:szCs w:val="32"/>
          <w:lang w:val="en-US" w:eastAsia="zh-CN"/>
        </w:rPr>
        <w:t>2022</w:t>
      </w:r>
      <w:r>
        <w:rPr>
          <w:rFonts w:hint="eastAsia" w:ascii="仿宋_GB2312" w:hAnsi="ˎ̥" w:eastAsia="仿宋_GB2312"/>
          <w:sz w:val="32"/>
          <w:szCs w:val="32"/>
        </w:rPr>
        <w:t>年度政府性基金预算财政拨款收入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cs="仿宋_GB2312"/>
          <w:sz w:val="32"/>
          <w:szCs w:val="32"/>
          <w:highlight w:val="none"/>
        </w:rPr>
        <w:t>与202</w:t>
      </w:r>
      <w:r>
        <w:rPr>
          <w:rFonts w:hint="eastAsia" w:ascii="仿宋_GB2312" w:hAnsi="ˎ̥" w:eastAsia="仿宋_GB2312" w:cs="仿宋_GB2312"/>
          <w:sz w:val="32"/>
          <w:szCs w:val="32"/>
          <w:highlight w:val="none"/>
          <w:lang w:val="en-US" w:eastAsia="zh-CN"/>
        </w:rPr>
        <w:t>1</w:t>
      </w:r>
      <w:r>
        <w:rPr>
          <w:rFonts w:hint="eastAsia" w:ascii="仿宋_GB2312" w:hAnsi="ˎ̥" w:eastAsia="仿宋_GB2312" w:cs="仿宋_GB2312"/>
          <w:sz w:val="32"/>
          <w:szCs w:val="32"/>
          <w:highlight w:val="none"/>
        </w:rPr>
        <w:t>年度相比，政府性基金预算财政拨款支出增加</w:t>
      </w:r>
      <w:r>
        <w:rPr>
          <w:rFonts w:hint="eastAsia" w:ascii="仿宋_GB2312" w:hAnsi="ˎ̥" w:eastAsia="仿宋_GB2312" w:cs="仿宋_GB2312"/>
          <w:sz w:val="32"/>
          <w:szCs w:val="32"/>
          <w:highlight w:val="none"/>
          <w:lang w:val="en-US" w:eastAsia="zh-CN"/>
        </w:rPr>
        <w:t>0</w:t>
      </w:r>
      <w:r>
        <w:rPr>
          <w:rFonts w:hint="eastAsia" w:ascii="仿宋_GB2312" w:hAnsi="ˎ̥" w:eastAsia="仿宋_GB2312" w:cs="仿宋_GB2312"/>
          <w:sz w:val="32"/>
          <w:szCs w:val="32"/>
          <w:highlight w:val="none"/>
        </w:rPr>
        <w:t>万元，增长</w:t>
      </w:r>
      <w:r>
        <w:rPr>
          <w:rFonts w:hint="eastAsia" w:ascii="仿宋_GB2312" w:hAnsi="ˎ̥" w:eastAsia="仿宋_GB2312" w:cs="仿宋_GB2312"/>
          <w:sz w:val="32"/>
          <w:szCs w:val="32"/>
          <w:highlight w:val="none"/>
          <w:lang w:val="en-US" w:eastAsia="zh-CN"/>
        </w:rPr>
        <w:t>0</w:t>
      </w:r>
      <w:r>
        <w:rPr>
          <w:rFonts w:hint="eastAsia" w:ascii="仿宋_GB2312" w:hAnsi="ˎ̥" w:eastAsia="仿宋_GB2312" w:cs="仿宋_GB2312"/>
          <w:sz w:val="32"/>
          <w:szCs w:val="32"/>
          <w:highlight w:val="none"/>
        </w:rPr>
        <w:t>%，主要原因是</w:t>
      </w:r>
      <w:r>
        <w:rPr>
          <w:rFonts w:hint="eastAsia" w:ascii="仿宋_GB2312" w:hAnsi="ˎ̥" w:eastAsia="仿宋_GB2312" w:cs="仿宋_GB2312"/>
          <w:sz w:val="32"/>
          <w:szCs w:val="32"/>
          <w:highlight w:val="none"/>
          <w:lang w:val="en-US" w:eastAsia="zh-CN"/>
        </w:rPr>
        <w:t>2022</w:t>
      </w:r>
      <w:r>
        <w:rPr>
          <w:rFonts w:hint="eastAsia" w:ascii="仿宋_GB2312" w:hAnsi="ˎ̥" w:eastAsia="仿宋_GB2312" w:cs="仿宋_GB2312"/>
          <w:sz w:val="32"/>
          <w:szCs w:val="32"/>
          <w:highlight w:val="none"/>
          <w:lang w:eastAsia="zh-CN"/>
        </w:rPr>
        <w:t>年度无</w:t>
      </w:r>
      <w:r>
        <w:rPr>
          <w:rFonts w:hint="eastAsia" w:ascii="仿宋_GB2312" w:hAnsi="ˎ̥" w:eastAsia="仿宋_GB2312"/>
          <w:sz w:val="32"/>
          <w:szCs w:val="32"/>
          <w:highlight w:val="none"/>
        </w:rPr>
        <w:t>政府性基金</w:t>
      </w:r>
      <w:r>
        <w:rPr>
          <w:rFonts w:hint="eastAsia" w:ascii="仿宋_GB2312" w:hAnsi="ˎ̥" w:eastAsia="仿宋_GB2312"/>
          <w:sz w:val="32"/>
          <w:szCs w:val="32"/>
        </w:rPr>
        <w:t>预算财政拨款</w:t>
      </w:r>
      <w:r>
        <w:rPr>
          <w:rFonts w:hint="eastAsia" w:ascii="仿宋_GB2312" w:hAnsi="ˎ̥" w:eastAsia="仿宋_GB2312"/>
          <w:sz w:val="32"/>
          <w:szCs w:val="32"/>
          <w:lang w:eastAsia="zh-CN"/>
        </w:rPr>
        <w:t>收入</w:t>
      </w:r>
      <w:r>
        <w:rPr>
          <w:rFonts w:hint="eastAsia" w:ascii="仿宋_GB2312" w:hAnsi="ˎ̥" w:eastAsia="仿宋_GB2312"/>
          <w:sz w:val="32"/>
          <w:szCs w:val="32"/>
        </w:rPr>
        <w:t>。</w:t>
      </w:r>
    </w:p>
    <w:p>
      <w:pPr>
        <w:tabs>
          <w:tab w:val="center" w:pos="4473"/>
        </w:tabs>
        <w:ind w:firstLine="640" w:firstLineChars="200"/>
        <w:rPr>
          <w:rFonts w:hint="eastAsia" w:ascii="仿宋_GB2312" w:hAnsi="ˎ̥" w:eastAsia="仿宋_GB2312"/>
          <w:sz w:val="32"/>
          <w:szCs w:val="32"/>
        </w:rPr>
      </w:pPr>
      <w:r>
        <w:rPr>
          <w:rFonts w:hint="eastAsia" w:ascii="仿宋_GB2312" w:hAnsi="ˎ̥" w:eastAsia="仿宋_GB2312"/>
          <w:sz w:val="32"/>
          <w:szCs w:val="32"/>
        </w:rPr>
        <w:t>（二）20</w:t>
      </w:r>
      <w:r>
        <w:rPr>
          <w:rFonts w:hint="eastAsia" w:ascii="仿宋_GB2312" w:hAnsi="ˎ̥" w:eastAsia="仿宋_GB2312"/>
          <w:sz w:val="32"/>
          <w:szCs w:val="32"/>
          <w:lang w:val="en-US" w:eastAsia="zh-CN"/>
        </w:rPr>
        <w:t>22</w:t>
      </w:r>
      <w:r>
        <w:rPr>
          <w:rFonts w:hint="eastAsia" w:ascii="仿宋_GB2312" w:hAnsi="ˎ̥" w:eastAsia="仿宋_GB2312"/>
          <w:sz w:val="32"/>
          <w:szCs w:val="32"/>
        </w:rPr>
        <w:t>年度政府性基金预算财政拨款支出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rPr>
          <w:rFonts w:hint="eastAsia" w:ascii="仿宋_GB2312" w:hAnsi="ˎ̥" w:eastAsia="仿宋_GB2312"/>
          <w:color w:val="FF0000"/>
          <w:sz w:val="32"/>
          <w:szCs w:val="32"/>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rPr>
        <w:t>（三）</w:t>
      </w:r>
      <w:r>
        <w:rPr>
          <w:rFonts w:hint="eastAsia" w:ascii="仿宋_GB2312" w:hAnsi="ˎ̥" w:eastAsia="仿宋_GB2312"/>
          <w:sz w:val="32"/>
          <w:szCs w:val="32"/>
          <w:lang w:eastAsia="zh-CN"/>
        </w:rPr>
        <w:t>天涯区马岭大社区综合服务中心</w:t>
      </w:r>
      <w:r>
        <w:rPr>
          <w:rFonts w:hint="eastAsia" w:ascii="仿宋_GB2312" w:hAnsi="ˎ̥" w:eastAsia="仿宋_GB2312"/>
          <w:sz w:val="32"/>
          <w:szCs w:val="32"/>
          <w:lang w:val="en-US" w:eastAsia="zh-CN"/>
        </w:rPr>
        <w:t>2022年无政府性基金预算安排。</w:t>
      </w:r>
    </w:p>
    <w:p>
      <w:pPr>
        <w:tabs>
          <w:tab w:val="center" w:pos="4473"/>
        </w:tabs>
        <w:ind w:firstLine="627" w:firstLineChars="196"/>
        <w:rPr>
          <w:rFonts w:hint="eastAsia" w:ascii="黑体" w:hAnsi="黑体" w:eastAsia="黑体" w:cs="黑体"/>
          <w:bCs/>
          <w:sz w:val="32"/>
          <w:szCs w:val="32"/>
          <w:lang w:eastAsia="zh-CN"/>
        </w:rPr>
      </w:pPr>
      <w:r>
        <w:rPr>
          <w:rFonts w:hint="eastAsia" w:ascii="黑体" w:hAnsi="黑体" w:eastAsia="黑体" w:cs="黑体"/>
          <w:bCs/>
          <w:sz w:val="32"/>
          <w:szCs w:val="32"/>
          <w:lang w:eastAsia="zh-CN"/>
        </w:rPr>
        <w:t>八、国有资本经营预算财政拨款支出决算情况说明</w:t>
      </w:r>
    </w:p>
    <w:p>
      <w:pPr>
        <w:ind w:firstLine="640" w:firstLineChars="200"/>
        <w:rPr>
          <w:rFonts w:hint="eastAsia" w:ascii="楷体" w:hAnsi="楷体" w:eastAsia="楷体" w:cs="楷体"/>
          <w:color w:val="auto"/>
          <w:sz w:val="32"/>
          <w:szCs w:val="32"/>
          <w:lang w:eastAsia="zh-CN"/>
        </w:rPr>
      </w:pP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lang w:eastAsia="zh-CN"/>
        </w:rPr>
        <w:t>国有资本经营预算</w:t>
      </w:r>
      <w:r>
        <w:rPr>
          <w:rFonts w:hint="eastAsia" w:ascii="楷体" w:hAnsi="楷体" w:eastAsia="楷体" w:cs="楷体"/>
          <w:color w:val="auto"/>
          <w:sz w:val="32"/>
          <w:szCs w:val="32"/>
        </w:rPr>
        <w:t>财政拨款支出决算总体情况</w:t>
      </w:r>
      <w:r>
        <w:rPr>
          <w:rFonts w:hint="eastAsia" w:ascii="楷体" w:hAnsi="楷体" w:eastAsia="楷体" w:cs="楷体"/>
          <w:color w:val="auto"/>
          <w:sz w:val="32"/>
          <w:szCs w:val="32"/>
          <w:lang w:eastAsia="zh-CN"/>
        </w:rPr>
        <w:t>。</w:t>
      </w:r>
    </w:p>
    <w:p>
      <w:pPr>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202</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lang w:eastAsia="zh-CN"/>
        </w:rPr>
        <w:t>年度国有资本经营预算</w:t>
      </w:r>
      <w:r>
        <w:rPr>
          <w:rFonts w:hint="eastAsia" w:ascii="仿宋_GB2312" w:hAnsi="ˎ̥" w:eastAsia="仿宋_GB2312"/>
          <w:color w:val="auto"/>
          <w:sz w:val="32"/>
          <w:szCs w:val="32"/>
        </w:rPr>
        <w:t>财政拨款支出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highlight w:val="none"/>
        </w:rPr>
        <w:t>与202</w:t>
      </w:r>
      <w:r>
        <w:rPr>
          <w:rFonts w:hint="eastAsia" w:ascii="仿宋_GB2312" w:hAnsi="ˎ̥" w:eastAsia="仿宋_GB2312"/>
          <w:color w:val="auto"/>
          <w:sz w:val="32"/>
          <w:szCs w:val="32"/>
          <w:highlight w:val="none"/>
          <w:lang w:val="en-US" w:eastAsia="zh-CN"/>
        </w:rPr>
        <w:t>1</w:t>
      </w:r>
      <w:r>
        <w:rPr>
          <w:rFonts w:hint="eastAsia" w:ascii="仿宋_GB2312" w:hAnsi="ˎ̥" w:eastAsia="仿宋_GB2312"/>
          <w:color w:val="auto"/>
          <w:sz w:val="32"/>
          <w:szCs w:val="32"/>
          <w:highlight w:val="none"/>
        </w:rPr>
        <w:t>年度相比，国有资本经营预算财政拨款支出增加</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万元，增长</w:t>
      </w:r>
      <w:bookmarkStart w:id="120" w:name="_GoBack"/>
      <w:bookmarkEnd w:id="120"/>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%，主要原因是</w:t>
      </w:r>
      <w:r>
        <w:rPr>
          <w:rFonts w:hint="eastAsia" w:ascii="仿宋_GB2312" w:hAnsi="ˎ̥" w:eastAsia="仿宋_GB2312"/>
          <w:color w:val="auto"/>
          <w:sz w:val="32"/>
          <w:szCs w:val="32"/>
          <w:highlight w:val="none"/>
          <w:lang w:val="en-US" w:eastAsia="zh-CN"/>
        </w:rPr>
        <w:t>2022</w:t>
      </w:r>
      <w:r>
        <w:rPr>
          <w:rFonts w:hint="eastAsia" w:ascii="仿宋_GB2312" w:hAnsi="ˎ̥" w:eastAsia="仿宋_GB2312"/>
          <w:color w:val="auto"/>
          <w:sz w:val="32"/>
          <w:szCs w:val="32"/>
          <w:highlight w:val="none"/>
          <w:lang w:eastAsia="zh-CN"/>
        </w:rPr>
        <w:t>年度无国有资本经营预算财政拨款支出</w:t>
      </w:r>
      <w:r>
        <w:rPr>
          <w:rFonts w:hint="eastAsia" w:ascii="仿宋_GB2312" w:hAnsi="ˎ̥" w:eastAsia="仿宋_GB2312"/>
          <w:color w:val="auto"/>
          <w:sz w:val="32"/>
          <w:szCs w:val="32"/>
          <w:highlight w:val="none"/>
        </w:rPr>
        <w:t>。</w:t>
      </w:r>
    </w:p>
    <w:p>
      <w:pPr>
        <w:ind w:firstLine="640" w:firstLineChars="200"/>
        <w:rPr>
          <w:rFonts w:hint="eastAsia" w:ascii="楷体" w:hAnsi="楷体" w:eastAsia="楷体" w:cs="楷体"/>
          <w:color w:val="auto"/>
          <w:sz w:val="32"/>
          <w:szCs w:val="32"/>
          <w:lang w:eastAsia="zh-CN"/>
        </w:rPr>
      </w:pPr>
      <w:r>
        <w:rPr>
          <w:rFonts w:hint="eastAsia" w:ascii="楷体" w:hAnsi="楷体" w:eastAsia="楷体" w:cs="楷体"/>
          <w:color w:val="auto"/>
          <w:sz w:val="32"/>
          <w:szCs w:val="32"/>
          <w:lang w:val="en-US" w:eastAsia="zh-CN"/>
        </w:rPr>
        <w:t>（二）国有资本经营预算</w:t>
      </w:r>
      <w:r>
        <w:rPr>
          <w:rFonts w:hint="eastAsia" w:ascii="楷体" w:hAnsi="楷体" w:eastAsia="楷体" w:cs="楷体"/>
          <w:color w:val="auto"/>
          <w:sz w:val="32"/>
          <w:szCs w:val="32"/>
        </w:rPr>
        <w:t>财政拨款支出决算结构情况</w:t>
      </w:r>
      <w:r>
        <w:rPr>
          <w:rFonts w:hint="eastAsia" w:ascii="楷体" w:hAnsi="楷体" w:eastAsia="楷体" w:cs="楷体"/>
          <w:color w:val="auto"/>
          <w:sz w:val="32"/>
          <w:szCs w:val="32"/>
          <w:lang w:eastAsia="zh-CN"/>
        </w:rPr>
        <w:t>。</w:t>
      </w:r>
    </w:p>
    <w:p>
      <w:pPr>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202</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lang w:eastAsia="zh-CN"/>
        </w:rPr>
        <w:t>年度国有资本经营预算</w:t>
      </w:r>
      <w:r>
        <w:rPr>
          <w:rFonts w:hint="eastAsia" w:ascii="仿宋_GB2312" w:hAnsi="ˎ̥" w:eastAsia="仿宋_GB2312"/>
          <w:color w:val="auto"/>
          <w:sz w:val="32"/>
          <w:szCs w:val="32"/>
        </w:rPr>
        <w:t>财政拨款支出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（三）国有资本经营预算</w:t>
      </w:r>
      <w:r>
        <w:rPr>
          <w:rFonts w:hint="eastAsia" w:ascii="楷体" w:hAnsi="楷体" w:eastAsia="楷体" w:cs="楷体"/>
          <w:color w:val="auto"/>
          <w:sz w:val="32"/>
          <w:szCs w:val="32"/>
        </w:rPr>
        <w:t>财政拨款支出决算具体情况。</w:t>
      </w:r>
    </w:p>
    <w:p>
      <w:pPr>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202</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lang w:eastAsia="zh-CN"/>
        </w:rPr>
        <w:t>年度国有资本经营预算财政拨款</w:t>
      </w:r>
      <w:r>
        <w:rPr>
          <w:rFonts w:hint="eastAsia" w:ascii="仿宋_GB2312" w:hAnsi="ˎ̥" w:eastAsia="仿宋_GB2312"/>
          <w:color w:val="auto"/>
          <w:sz w:val="32"/>
          <w:szCs w:val="32"/>
        </w:rPr>
        <w:t>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支出决算与预算数持平。</w:t>
      </w:r>
    </w:p>
    <w:p>
      <w:pPr>
        <w:ind w:firstLine="627" w:firstLineChars="196"/>
        <w:rPr>
          <w:rFonts w:hint="eastAsia" w:ascii="仿宋_GB2312" w:hAnsi="ˎ̥" w:eastAsia="楷体_GB2312"/>
          <w:sz w:val="32"/>
          <w:szCs w:val="32"/>
        </w:rPr>
      </w:pPr>
      <w:r>
        <w:rPr>
          <w:rFonts w:hint="eastAsia" w:ascii="黑体" w:hAnsi="黑体" w:eastAsia="黑体" w:cs="黑体"/>
          <w:bCs/>
          <w:sz w:val="32"/>
          <w:szCs w:val="32"/>
          <w:lang w:eastAsia="zh-CN"/>
        </w:rPr>
        <w:t>九</w:t>
      </w:r>
      <w:r>
        <w:rPr>
          <w:rFonts w:hint="eastAsia" w:ascii="黑体" w:hAnsi="黑体" w:eastAsia="黑体" w:cs="黑体"/>
          <w:bCs/>
          <w:sz w:val="32"/>
          <w:szCs w:val="32"/>
        </w:rPr>
        <w:t>、一般公共预算财政拨款“三公”经费支出决算情况说明</w:t>
      </w:r>
    </w:p>
    <w:p>
      <w:pPr>
        <w:ind w:firstLine="643" w:firstLineChars="200"/>
        <w:rPr>
          <w:rFonts w:hint="eastAsia" w:ascii="楷体" w:hAnsi="楷体" w:eastAsia="楷体" w:cs="楷体"/>
          <w:sz w:val="32"/>
          <w:szCs w:val="32"/>
        </w:rPr>
      </w:pPr>
      <w:r>
        <w:rPr>
          <w:rFonts w:hint="eastAsia" w:ascii="楷体" w:hAnsi="楷体" w:eastAsia="楷体" w:cs="楷体"/>
          <w:b/>
          <w:sz w:val="32"/>
          <w:szCs w:val="32"/>
        </w:rPr>
        <w:t>（一）一般公共预算财政拨款“三公”经费支出决算总体情况说明。</w:t>
      </w:r>
    </w:p>
    <w:p>
      <w:pPr>
        <w:ind w:firstLine="640"/>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auto"/>
          <w:sz w:val="32"/>
          <w:szCs w:val="32"/>
          <w:lang w:val="en-US" w:eastAsia="zh-CN"/>
        </w:rPr>
        <w:t>2022</w:t>
      </w:r>
      <w:r>
        <w:rPr>
          <w:rFonts w:hint="eastAsia" w:ascii="仿宋_GB2312" w:hAnsi="ˎ̥" w:eastAsia="仿宋_GB2312"/>
          <w:color w:val="auto"/>
          <w:sz w:val="32"/>
          <w:szCs w:val="32"/>
        </w:rPr>
        <w:t>年度一般公</w:t>
      </w:r>
      <w:r>
        <w:rPr>
          <w:rFonts w:hint="eastAsia" w:ascii="仿宋_GB2312" w:hAnsi="ˎ̥" w:eastAsia="仿宋_GB2312"/>
          <w:sz w:val="32"/>
          <w:szCs w:val="32"/>
        </w:rPr>
        <w:t>共预算财政拨款“三公”经费支出预算为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w:t>
      </w:r>
      <w:r>
        <w:rPr>
          <w:rFonts w:hint="eastAsia" w:ascii="仿宋_GB2312" w:hAnsi="ˎ̥" w:eastAsia="仿宋_GB2312"/>
          <w:color w:val="auto"/>
          <w:sz w:val="32"/>
          <w:szCs w:val="32"/>
          <w:lang w:val="en-US" w:eastAsia="zh-CN"/>
        </w:rPr>
        <w:t>元，支出决</w:t>
      </w:r>
      <w:r>
        <w:rPr>
          <w:rFonts w:hint="eastAsia" w:ascii="仿宋_GB2312" w:hAnsi="ˎ̥" w:eastAsia="仿宋_GB2312"/>
          <w:color w:val="auto"/>
          <w:sz w:val="32"/>
          <w:szCs w:val="32"/>
        </w:rPr>
        <w:t>算为0万元</w:t>
      </w:r>
      <w:r>
        <w:rPr>
          <w:rFonts w:hint="eastAsia" w:ascii="仿宋_GB2312" w:hAnsi="ˎ̥" w:eastAsia="仿宋_GB2312"/>
          <w:color w:val="auto"/>
          <w:sz w:val="32"/>
          <w:szCs w:val="32"/>
          <w:lang w:eastAsia="zh-CN"/>
        </w:rPr>
        <w:t>。</w:t>
      </w:r>
      <w:r>
        <w:rPr>
          <w:rFonts w:hint="eastAsia" w:ascii="仿宋_GB2312" w:hAnsi="ˎ̥" w:eastAsia="仿宋_GB2312"/>
          <w:color w:val="000000" w:themeColor="text1"/>
          <w:sz w:val="32"/>
          <w:szCs w:val="32"/>
          <w14:textFill>
            <w14:solidFill>
              <w14:schemeClr w14:val="tx1"/>
            </w14:solidFill>
          </w14:textFill>
        </w:rPr>
        <w:t>一般公共预算财政拨款“三公”经费支出决算比预算数持平</w:t>
      </w:r>
      <w:r>
        <w:rPr>
          <w:rFonts w:hint="eastAsia" w:ascii="仿宋_GB2312" w:hAnsi="ˎ̥" w:eastAsia="仿宋_GB2312"/>
          <w:color w:val="000000" w:themeColor="text1"/>
          <w:sz w:val="32"/>
          <w:szCs w:val="32"/>
          <w:lang w:val="en-US" w:eastAsia="zh-CN"/>
          <w14:textFill>
            <w14:solidFill>
              <w14:schemeClr w14:val="tx1"/>
            </w14:solidFill>
          </w14:textFill>
        </w:rPr>
        <w:t>。</w:t>
      </w:r>
    </w:p>
    <w:p>
      <w:pPr>
        <w:rPr>
          <w:rFonts w:hint="eastAsia" w:ascii="楷体" w:hAnsi="楷体" w:eastAsia="楷体" w:cs="楷体"/>
          <w:b/>
          <w:bCs/>
          <w:sz w:val="32"/>
          <w:szCs w:val="32"/>
        </w:rPr>
      </w:pPr>
      <w:r>
        <w:rPr>
          <w:rFonts w:hint="eastAsia" w:ascii="楷体" w:hAnsi="楷体" w:eastAsia="楷体" w:cs="楷体"/>
          <w:b/>
          <w:bCs/>
          <w:sz w:val="32"/>
          <w:szCs w:val="32"/>
        </w:rPr>
        <w:t xml:space="preserve">   （二）一般公共预算“三公”经费财政拨款支出决算具体情况说明。</w:t>
      </w:r>
    </w:p>
    <w:p>
      <w:pPr>
        <w:ind w:firstLine="640" w:firstLineChars="200"/>
        <w:rPr>
          <w:rFonts w:hint="eastAsia" w:ascii="仿宋_GB2312" w:hAnsi="ˎ̥" w:eastAsia="仿宋_GB2312"/>
          <w:sz w:val="32"/>
          <w:szCs w:val="32"/>
        </w:rPr>
      </w:pPr>
      <w:r>
        <w:rPr>
          <w:rFonts w:hint="eastAsia" w:ascii="仿宋_GB2312" w:hAnsi="ˎ̥" w:eastAsia="仿宋_GB2312"/>
          <w:sz w:val="32"/>
          <w:szCs w:val="32"/>
          <w:lang w:val="en-US" w:eastAsia="zh-CN"/>
        </w:rPr>
        <w:t>2022</w:t>
      </w:r>
      <w:r>
        <w:rPr>
          <w:rFonts w:hint="eastAsia" w:ascii="仿宋_GB2312" w:hAnsi="ˎ̥" w:eastAsia="仿宋_GB2312"/>
          <w:sz w:val="32"/>
          <w:szCs w:val="32"/>
        </w:rPr>
        <w:t>年度一般公共预算财政拨款“三公”经费支出决算中，因公出国（境）费支出决算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%。具体情况如下：</w:t>
      </w:r>
    </w:p>
    <w:p>
      <w:pPr>
        <w:ind w:firstLine="642"/>
        <w:rPr>
          <w:rFonts w:hint="eastAsia" w:ascii="仿宋_GB2312" w:hAnsi="ˎ̥" w:eastAsia="仿宋_GB2312"/>
          <w:sz w:val="32"/>
          <w:szCs w:val="32"/>
        </w:rPr>
      </w:pPr>
      <w:r>
        <w:rPr>
          <w:rFonts w:hint="eastAsia" w:ascii="仿宋_GB2312" w:hAnsi="ˎ̥" w:eastAsia="仿宋_GB2312"/>
          <w:b/>
          <w:sz w:val="32"/>
          <w:szCs w:val="32"/>
          <w:lang w:val="en-US" w:eastAsia="zh-CN"/>
        </w:rPr>
        <w:t>1.</w:t>
      </w:r>
      <w:r>
        <w:rPr>
          <w:rFonts w:hint="eastAsia" w:ascii="仿宋_GB2312" w:hAnsi="ˎ̥" w:eastAsia="仿宋_GB2312"/>
          <w:b/>
          <w:sz w:val="32"/>
          <w:szCs w:val="32"/>
        </w:rPr>
        <w:t>因公出国（境）费</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万元。全年安排因公出国（境）团组</w:t>
      </w:r>
      <w:r>
        <w:rPr>
          <w:rFonts w:hint="eastAsia" w:ascii="仿宋_GB2312" w:hAnsi="ˎ̥" w:eastAsia="仿宋_GB2312"/>
          <w:sz w:val="32"/>
          <w:szCs w:val="32"/>
          <w:lang w:val="en-US" w:eastAsia="zh-CN"/>
        </w:rPr>
        <w:t>0</w:t>
      </w:r>
      <w:r>
        <w:rPr>
          <w:rFonts w:hint="eastAsia" w:ascii="仿宋_GB2312" w:hAnsi="ˎ̥" w:eastAsia="仿宋_GB2312"/>
          <w:sz w:val="32"/>
          <w:szCs w:val="32"/>
        </w:rPr>
        <w:t>个，因公出国（境）</w:t>
      </w:r>
      <w:r>
        <w:rPr>
          <w:rFonts w:hint="eastAsia" w:ascii="仿宋_GB2312" w:hAnsi="ˎ̥" w:eastAsia="仿宋_GB2312"/>
          <w:sz w:val="32"/>
          <w:szCs w:val="32"/>
          <w:lang w:val="en-US" w:eastAsia="zh-CN"/>
        </w:rPr>
        <w:t>0</w:t>
      </w:r>
      <w:r>
        <w:rPr>
          <w:rFonts w:hint="eastAsia" w:ascii="仿宋_GB2312" w:hAnsi="ˎ̥" w:eastAsia="仿宋_GB2312"/>
          <w:sz w:val="32"/>
          <w:szCs w:val="32"/>
        </w:rPr>
        <w:t>人次。</w:t>
      </w:r>
    </w:p>
    <w:p>
      <w:pPr>
        <w:ind w:firstLine="642"/>
        <w:rPr>
          <w:rFonts w:hint="eastAsia" w:ascii="仿宋_GB2312" w:hAnsi="ˎ̥" w:eastAsia="仿宋_GB2312"/>
          <w:b w:val="0"/>
          <w:bCs w:val="0"/>
          <w:color w:val="000000" w:themeColor="text1"/>
          <w:sz w:val="32"/>
          <w:szCs w:val="32"/>
          <w:lang w:eastAsia="zh-CN"/>
          <w14:textFill>
            <w14:solidFill>
              <w14:schemeClr w14:val="tx1"/>
            </w14:solidFill>
          </w14:textFill>
        </w:rPr>
      </w:pPr>
      <w:r>
        <w:rPr>
          <w:rFonts w:hint="eastAsia" w:ascii="仿宋_GB2312" w:hAnsi="ˎ̥" w:eastAsia="仿宋_GB2312"/>
          <w:b w:val="0"/>
          <w:bCs w:val="0"/>
          <w:color w:val="000000" w:themeColor="text1"/>
          <w:sz w:val="32"/>
          <w:szCs w:val="32"/>
          <w:lang w:eastAsia="zh-CN"/>
          <w14:textFill>
            <w14:solidFill>
              <w14:schemeClr w14:val="tx1"/>
            </w14:solidFill>
          </w14:textFill>
        </w:rPr>
        <w:t>因公出国（境）费支出决算比预算数持平。</w:t>
      </w:r>
    </w:p>
    <w:p>
      <w:pPr>
        <w:rPr>
          <w:rFonts w:hint="eastAsia" w:ascii="仿宋_GB2312" w:hAnsi="ˎ̥" w:eastAsia="仿宋_GB2312"/>
          <w:sz w:val="32"/>
          <w:szCs w:val="32"/>
        </w:rPr>
      </w:pPr>
      <w:r>
        <w:rPr>
          <w:rFonts w:hint="eastAsia" w:ascii="仿宋_GB2312" w:hAnsi="ˎ̥" w:eastAsia="仿宋_GB2312"/>
          <w:b/>
          <w:sz w:val="32"/>
          <w:szCs w:val="32"/>
        </w:rPr>
        <w:t xml:space="preserve">    2.公务用车购置及运行费支出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w:t>
      </w:r>
    </w:p>
    <w:p>
      <w:pPr>
        <w:ind w:firstLine="643" w:firstLineChars="200"/>
        <w:rPr>
          <w:rFonts w:hint="eastAsia" w:ascii="仿宋_GB2312" w:hAnsi="ˎ̥" w:eastAsia="仿宋_GB2312"/>
          <w:color w:val="auto"/>
          <w:sz w:val="32"/>
          <w:szCs w:val="32"/>
        </w:rPr>
      </w:pPr>
      <w:r>
        <w:rPr>
          <w:rFonts w:hint="eastAsia" w:ascii="仿宋_GB2312" w:hAnsi="ˎ̥" w:eastAsia="仿宋_GB2312"/>
          <w:b/>
          <w:sz w:val="32"/>
          <w:szCs w:val="32"/>
        </w:rPr>
        <w:t>公务用车购置支出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万元，全年购</w:t>
      </w:r>
      <w:r>
        <w:rPr>
          <w:rFonts w:hint="eastAsia" w:ascii="仿宋_GB2312" w:hAnsi="ˎ̥" w:eastAsia="仿宋_GB2312"/>
          <w:color w:val="auto"/>
          <w:sz w:val="32"/>
          <w:szCs w:val="32"/>
        </w:rPr>
        <w:t>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辆，年末公务用车保有量</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left"/>
        <w:rPr>
          <w:rFonts w:hint="eastAsia" w:ascii="仿宋_GB2312" w:hAnsi="ˎ̥" w:eastAsia="仿宋_GB2312"/>
          <w:sz w:val="32"/>
          <w:szCs w:val="32"/>
        </w:rPr>
      </w:pPr>
      <w:r>
        <w:rPr>
          <w:rFonts w:hint="eastAsia" w:ascii="仿宋_GB2312" w:hAnsi="ˎ̥" w:eastAsia="仿宋_GB2312"/>
          <w:b/>
          <w:color w:val="auto"/>
          <w:sz w:val="32"/>
          <w:szCs w:val="32"/>
          <w:lang w:val="en-US" w:eastAsia="zh-CN"/>
        </w:rPr>
        <w:t xml:space="preserve">    </w:t>
      </w:r>
      <w:r>
        <w:rPr>
          <w:rFonts w:hint="eastAsia" w:ascii="仿宋_GB2312" w:hAnsi="ˎ̥" w:eastAsia="仿宋_GB2312"/>
          <w:b/>
          <w:color w:val="auto"/>
          <w:sz w:val="32"/>
          <w:szCs w:val="32"/>
        </w:rPr>
        <w:t>公务用车运行维护费</w:t>
      </w:r>
      <w:r>
        <w:rPr>
          <w:rFonts w:hint="eastAsia" w:ascii="仿宋_GB2312" w:hAnsi="ˎ̥" w:eastAsia="仿宋_GB2312" w:cstheme="minorBidi"/>
          <w:b/>
          <w:color w:val="auto"/>
          <w:kern w:val="2"/>
          <w:sz w:val="32"/>
          <w:szCs w:val="32"/>
          <w:lang w:val="en-US" w:eastAsia="zh-CN" w:bidi="ar-SA"/>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rPr>
          <w:rFonts w:hint="eastAsia" w:ascii="仿宋_GB2312" w:hAnsi="ˎ̥" w:eastAsia="仿宋_GB2312"/>
          <w:b/>
          <w:color w:val="5B9BD5" w:themeColor="accent1"/>
          <w:sz w:val="32"/>
          <w:szCs w:val="32"/>
          <w14:textFill>
            <w14:solidFill>
              <w14:schemeClr w14:val="accent1"/>
            </w14:solidFill>
          </w14:textFill>
        </w:rPr>
      </w:pPr>
      <w:r>
        <w:rPr>
          <w:rFonts w:hint="eastAsia" w:ascii="仿宋_GB2312" w:hAnsi="ˎ̥" w:eastAsia="仿宋_GB2312"/>
          <w:bCs/>
          <w:sz w:val="32"/>
          <w:szCs w:val="32"/>
          <w:lang w:val="en-US" w:eastAsia="zh-CN"/>
        </w:rPr>
        <w:t xml:space="preserve"> </w:t>
      </w:r>
      <w:r>
        <w:rPr>
          <w:rFonts w:hint="eastAsia" w:ascii="仿宋_GB2312" w:hAnsi="ˎ̥" w:eastAsia="仿宋_GB2312"/>
          <w:bCs/>
          <w:color w:val="000000" w:themeColor="text1"/>
          <w:sz w:val="32"/>
          <w:szCs w:val="32"/>
          <w:lang w:val="en-US" w:eastAsia="zh-CN"/>
          <w14:textFill>
            <w14:solidFill>
              <w14:schemeClr w14:val="tx1"/>
            </w14:solidFill>
          </w14:textFill>
        </w:rPr>
        <w:t xml:space="preserve">   </w:t>
      </w:r>
      <w:r>
        <w:rPr>
          <w:rFonts w:hint="eastAsia" w:ascii="仿宋_GB2312" w:hAnsi="ˎ̥" w:eastAsia="仿宋_GB2312" w:cs="宋体"/>
          <w:color w:val="000000" w:themeColor="text1"/>
          <w:kern w:val="0"/>
          <w:sz w:val="32"/>
          <w:szCs w:val="32"/>
          <w:lang w:val="en-US" w:eastAsia="zh-CN" w:bidi="ar"/>
          <w14:textFill>
            <w14:solidFill>
              <w14:schemeClr w14:val="tx1"/>
            </w14:solidFill>
          </w14:textFill>
        </w:rPr>
        <w:t>公务用车购置及运行费</w:t>
      </w:r>
      <w:r>
        <w:rPr>
          <w:rFonts w:hint="eastAsia" w:ascii="仿宋_GB2312" w:hAnsi="ˎ̥" w:eastAsia="仿宋_GB2312"/>
          <w:color w:val="000000" w:themeColor="text1"/>
          <w:sz w:val="32"/>
          <w:szCs w:val="32"/>
          <w:lang w:eastAsia="zh-CN"/>
          <w14:textFill>
            <w14:solidFill>
              <w14:schemeClr w14:val="tx1"/>
            </w14:solidFill>
          </w14:textFill>
        </w:rPr>
        <w:t>支出决算比预算数持平。</w:t>
      </w:r>
      <w:r>
        <w:rPr>
          <w:rFonts w:hint="eastAsia" w:ascii="仿宋_GB2312" w:hAnsi="ˎ̥" w:eastAsia="仿宋_GB2312"/>
          <w:b/>
          <w:color w:val="000000" w:themeColor="text1"/>
          <w:sz w:val="32"/>
          <w:szCs w:val="32"/>
          <w14:textFill>
            <w14:solidFill>
              <w14:schemeClr w14:val="tx1"/>
            </w14:solidFill>
          </w14:textFill>
        </w:rPr>
        <w:t xml:space="preserve"> </w:t>
      </w:r>
    </w:p>
    <w:p>
      <w:pPr>
        <w:ind w:firstLine="643" w:firstLineChars="200"/>
        <w:rPr>
          <w:rFonts w:hint="eastAsia" w:ascii="仿宋_GB2312" w:hAnsi="ˎ̥" w:eastAsia="仿宋_GB2312"/>
          <w:sz w:val="32"/>
          <w:szCs w:val="32"/>
        </w:rPr>
      </w:pPr>
      <w:r>
        <w:rPr>
          <w:rFonts w:hint="eastAsia" w:ascii="仿宋_GB2312" w:hAnsi="ˎ̥" w:eastAsia="仿宋_GB2312"/>
          <w:b/>
          <w:sz w:val="32"/>
          <w:szCs w:val="32"/>
        </w:rPr>
        <w:t>3.公务接待费支出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w:t>
      </w:r>
      <w:r>
        <w:rPr>
          <w:rFonts w:hint="eastAsia" w:ascii="仿宋_GB2312" w:hAnsi="ˎ̥" w:eastAsia="仿宋_GB2312"/>
          <w:b/>
          <w:sz w:val="32"/>
          <w:szCs w:val="32"/>
        </w:rPr>
        <w:t>国内接待费</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万元，国内公务接待</w:t>
      </w:r>
      <w:r>
        <w:rPr>
          <w:rFonts w:hint="eastAsia" w:ascii="仿宋_GB2312" w:hAnsi="ˎ̥" w:eastAsia="仿宋_GB2312"/>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sz w:val="32"/>
          <w:szCs w:val="32"/>
          <w:lang w:val="en-US" w:eastAsia="zh-CN"/>
        </w:rPr>
        <w:t>0</w:t>
      </w:r>
      <w:r>
        <w:rPr>
          <w:rFonts w:hint="eastAsia" w:ascii="仿宋_GB2312" w:hAnsi="ˎ̥" w:eastAsia="仿宋_GB2312"/>
          <w:sz w:val="32"/>
          <w:szCs w:val="32"/>
        </w:rPr>
        <w:t>人次</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ind w:firstLine="640" w:firstLineChars="200"/>
        <w:rPr>
          <w:rFonts w:hint="eastAsia" w:ascii="仿宋_GB2312" w:hAnsi="ˎ̥" w:eastAsia="仿宋_GB2312"/>
          <w:color w:val="FF0000"/>
          <w:sz w:val="32"/>
          <w:szCs w:val="32"/>
          <w:lang w:val="en-US"/>
        </w:rPr>
      </w:pPr>
      <w:r>
        <w:rPr>
          <w:rFonts w:hint="eastAsia" w:ascii="仿宋_GB2312" w:hAnsi="ˎ̥" w:eastAsia="仿宋_GB2312"/>
          <w:sz w:val="32"/>
          <w:szCs w:val="32"/>
        </w:rPr>
        <w:t>国（境）外接待费支出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万元，国（境）外公务接待</w:t>
      </w:r>
      <w:r>
        <w:rPr>
          <w:rFonts w:hint="eastAsia" w:ascii="仿宋_GB2312" w:hAnsi="ˎ̥" w:eastAsia="仿宋_GB2312"/>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sz w:val="32"/>
          <w:szCs w:val="32"/>
          <w:lang w:val="en-US" w:eastAsia="zh-CN"/>
        </w:rPr>
        <w:t>0</w:t>
      </w:r>
      <w:r>
        <w:rPr>
          <w:rFonts w:hint="eastAsia" w:ascii="仿宋_GB2312" w:hAnsi="ˎ̥" w:eastAsia="仿宋_GB2312"/>
          <w:sz w:val="32"/>
          <w:szCs w:val="32"/>
        </w:rPr>
        <w:t>人次</w:t>
      </w:r>
      <w:r>
        <w:rPr>
          <w:rFonts w:hint="eastAsia" w:ascii="仿宋_GB2312" w:hAnsi="ˎ̥" w:eastAsia="仿宋_GB2312"/>
          <w:sz w:val="32"/>
          <w:szCs w:val="32"/>
          <w:lang w:eastAsia="zh-CN"/>
        </w:rPr>
        <w:t>，</w:t>
      </w:r>
      <w:r>
        <w:rPr>
          <w:rFonts w:hint="eastAsia" w:ascii="仿宋_GB2312" w:hAnsi="ˎ̥" w:eastAsia="仿宋_GB2312"/>
          <w:color w:val="000000" w:themeColor="text1"/>
          <w:sz w:val="32"/>
          <w:szCs w:val="32"/>
          <w14:textFill>
            <w14:solidFill>
              <w14:schemeClr w14:val="tx1"/>
            </w14:solidFill>
          </w14:textFill>
        </w:rPr>
        <w:t>公务接待费支出决算数比预算数持平。</w:t>
      </w:r>
    </w:p>
    <w:p>
      <w:pPr>
        <w:ind w:firstLine="627" w:firstLineChars="196"/>
        <w:rPr>
          <w:rFonts w:hint="eastAsia" w:ascii="仿宋_GB2312" w:hAnsi="ˎ̥" w:eastAsia="楷体_GB2312"/>
          <w:sz w:val="32"/>
          <w:szCs w:val="32"/>
        </w:rPr>
      </w:pPr>
      <w:r>
        <w:rPr>
          <w:rFonts w:hint="eastAsia" w:ascii="黑体" w:hAnsi="黑体" w:eastAsia="黑体" w:cs="黑体"/>
          <w:bCs/>
          <w:sz w:val="32"/>
          <w:szCs w:val="32"/>
          <w:lang w:eastAsia="zh-CN"/>
        </w:rPr>
        <w:t>十</w:t>
      </w:r>
      <w:r>
        <w:rPr>
          <w:rFonts w:hint="eastAsia" w:ascii="黑体" w:hAnsi="黑体" w:eastAsia="黑体" w:cs="黑体"/>
          <w:bCs/>
          <w:sz w:val="32"/>
          <w:szCs w:val="32"/>
        </w:rPr>
        <w:t>、政府性基金预算财政拨款“三公”经费支出决算情况说明</w:t>
      </w:r>
    </w:p>
    <w:p>
      <w:pPr>
        <w:numPr>
          <w:ilvl w:val="0"/>
          <w:numId w:val="0"/>
        </w:numPr>
        <w:ind w:left="0" w:leftChars="0" w:firstLine="640" w:firstLineChars="200"/>
        <w:rPr>
          <w:rFonts w:hint="eastAsia" w:ascii="仿宋_GB2312" w:hAnsi="ˎ̥" w:eastAsia="仿宋_GB2312"/>
          <w:color w:val="0000FF"/>
          <w:sz w:val="32"/>
          <w:szCs w:val="32"/>
        </w:rPr>
      </w:pPr>
      <w:r>
        <w:rPr>
          <w:rFonts w:hint="eastAsia" w:ascii="仿宋_GB2312" w:hAnsi="ˎ̥" w:eastAsia="仿宋_GB2312"/>
          <w:sz w:val="32"/>
          <w:szCs w:val="32"/>
        </w:rPr>
        <w:t>20</w:t>
      </w:r>
      <w:r>
        <w:rPr>
          <w:rFonts w:hint="eastAsia" w:ascii="仿宋_GB2312" w:hAnsi="ˎ̥" w:eastAsia="仿宋_GB2312"/>
          <w:sz w:val="32"/>
          <w:szCs w:val="32"/>
          <w:lang w:val="en-US" w:eastAsia="zh-CN"/>
        </w:rPr>
        <w:t>22</w:t>
      </w:r>
      <w:r>
        <w:rPr>
          <w:rFonts w:hint="eastAsia" w:ascii="仿宋_GB2312" w:hAnsi="ˎ̥" w:eastAsia="仿宋_GB2312"/>
          <w:sz w:val="32"/>
          <w:szCs w:val="32"/>
        </w:rPr>
        <w:t>年度政府性基金预算财政拨款“三公”经费支出合计</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ind w:firstLine="627" w:firstLineChars="196"/>
        <w:rPr>
          <w:rFonts w:hint="eastAsia" w:ascii="仿宋_GB2312" w:hAnsi="ˎ̥" w:eastAsia="楷体_GB2312"/>
          <w:color w:val="auto"/>
          <w:sz w:val="32"/>
          <w:szCs w:val="32"/>
          <w:lang w:eastAsia="zh-CN"/>
        </w:rPr>
      </w:pPr>
      <w:r>
        <w:rPr>
          <w:rFonts w:hint="eastAsia" w:ascii="黑体" w:hAnsi="黑体" w:eastAsia="黑体" w:cs="黑体"/>
          <w:bCs/>
          <w:color w:val="auto"/>
          <w:sz w:val="32"/>
          <w:szCs w:val="32"/>
          <w:lang w:val="en-US" w:eastAsia="zh-CN"/>
        </w:rPr>
        <w:t>十一、</w:t>
      </w:r>
      <w:r>
        <w:rPr>
          <w:rFonts w:hint="eastAsia" w:ascii="黑体" w:hAnsi="黑体" w:eastAsia="黑体" w:cs="黑体"/>
          <w:b w:val="0"/>
          <w:bCs/>
          <w:color w:val="auto"/>
          <w:sz w:val="32"/>
          <w:szCs w:val="32"/>
          <w:lang w:eastAsia="zh-CN"/>
        </w:rPr>
        <w:t>国有资本经营</w:t>
      </w:r>
      <w:r>
        <w:rPr>
          <w:rFonts w:hint="eastAsia" w:ascii="黑体" w:hAnsi="黑体" w:eastAsia="黑体" w:cs="黑体"/>
          <w:b w:val="0"/>
          <w:bCs/>
          <w:color w:val="auto"/>
          <w:sz w:val="32"/>
          <w:szCs w:val="32"/>
        </w:rPr>
        <w:t>预算财政拨款“三公”经费支出决算情况说明</w:t>
      </w:r>
    </w:p>
    <w:p>
      <w:pPr>
        <w:numPr>
          <w:ilvl w:val="0"/>
          <w:numId w:val="0"/>
        </w:numPr>
        <w:ind w:left="0" w:leftChars="0" w:firstLine="640" w:firstLineChars="200"/>
        <w:rPr>
          <w:rFonts w:hint="eastAsia"/>
          <w:color w:val="auto"/>
          <w:lang w:val="en-US" w:eastAsia="zh-CN"/>
        </w:rPr>
      </w:pPr>
      <w:r>
        <w:rPr>
          <w:rFonts w:hint="eastAsia" w:ascii="仿宋_GB2312" w:hAnsi="ˎ̥" w:eastAsia="仿宋_GB2312"/>
          <w:color w:val="auto"/>
          <w:sz w:val="32"/>
          <w:szCs w:val="32"/>
          <w:lang w:eastAsia="zh-CN"/>
        </w:rPr>
        <w:t>202</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lang w:eastAsia="zh-CN"/>
        </w:rPr>
        <w:t>年度</w:t>
      </w:r>
      <w:r>
        <w:rPr>
          <w:rFonts w:hint="eastAsia" w:ascii="仿宋_GB2312" w:hAnsi="ˎ̥" w:eastAsia="仿宋_GB2312"/>
          <w:color w:val="auto"/>
          <w:sz w:val="32"/>
          <w:szCs w:val="32"/>
          <w:lang w:val="en-US" w:eastAsia="zh-CN"/>
        </w:rPr>
        <w:t>国有资本经营预算财政拨款</w:t>
      </w:r>
      <w:r>
        <w:rPr>
          <w:rFonts w:hint="eastAsia" w:ascii="仿宋_GB2312" w:hAnsi="ˎ̥" w:eastAsia="仿宋_GB2312"/>
          <w:color w:val="auto"/>
          <w:sz w:val="32"/>
          <w:szCs w:val="32"/>
        </w:rPr>
        <w:t>“三公”经费支出</w:t>
      </w:r>
      <w:r>
        <w:rPr>
          <w:rFonts w:hint="eastAsia" w:ascii="仿宋_GB2312" w:hAnsi="ˎ̥" w:eastAsia="仿宋_GB2312"/>
          <w:color w:val="auto"/>
          <w:sz w:val="32"/>
          <w:szCs w:val="32"/>
          <w:lang w:eastAsia="zh-CN"/>
        </w:rPr>
        <w:t>合计</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。其中：</w:t>
      </w: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%；公务用车购置及运行费支出决算</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十</w:t>
      </w:r>
      <w:r>
        <w:rPr>
          <w:rFonts w:hint="eastAsia" w:ascii="黑体" w:hAnsi="黑体" w:eastAsia="黑体" w:cs="黑体"/>
          <w:bCs/>
          <w:color w:val="auto"/>
          <w:sz w:val="32"/>
          <w:szCs w:val="32"/>
          <w:lang w:eastAsia="zh-CN"/>
        </w:rPr>
        <w:t>二</w:t>
      </w:r>
      <w:r>
        <w:rPr>
          <w:rFonts w:hint="eastAsia" w:ascii="黑体" w:hAnsi="黑体" w:eastAsia="黑体" w:cs="黑体"/>
          <w:bCs/>
          <w:color w:val="auto"/>
          <w:sz w:val="32"/>
          <w:szCs w:val="32"/>
        </w:rPr>
        <w:t>、预算绩效情况说明。</w:t>
      </w:r>
    </w:p>
    <w:p>
      <w:pPr>
        <w:spacing w:line="578" w:lineRule="exact"/>
        <w:ind w:firstLine="640" w:firstLineChars="200"/>
        <w:rPr>
          <w:rFonts w:hint="eastAsia" w:ascii="仿宋_GB2312" w:eastAsia="仿宋_GB2312"/>
          <w:color w:val="auto"/>
          <w:sz w:val="32"/>
          <w:szCs w:val="32"/>
          <w:lang w:eastAsia="zh-CN"/>
        </w:rPr>
      </w:pPr>
      <w:r>
        <w:rPr>
          <w:rFonts w:hint="eastAsia" w:ascii="楷体" w:hAnsi="楷体" w:eastAsia="楷体" w:cs="楷体"/>
          <w:b/>
          <w:sz w:val="32"/>
          <w:szCs w:val="32"/>
          <w:lang w:eastAsia="zh-CN"/>
        </w:rPr>
        <w:t>（一）</w:t>
      </w:r>
      <w:r>
        <w:rPr>
          <w:rFonts w:hint="eastAsia" w:ascii="楷体" w:hAnsi="楷体" w:eastAsia="楷体" w:cs="楷体"/>
          <w:b/>
          <w:sz w:val="32"/>
          <w:szCs w:val="32"/>
        </w:rPr>
        <w:t>绩效管理工作开展情况。</w:t>
      </w:r>
    </w:p>
    <w:p>
      <w:pPr>
        <w:spacing w:line="578"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我单位在2022年无项目绩效自评。</w:t>
      </w:r>
    </w:p>
    <w:p>
      <w:pPr>
        <w:spacing w:line="578" w:lineRule="exact"/>
        <w:ind w:firstLine="640" w:firstLineChars="200"/>
        <w:rPr>
          <w:rFonts w:hint="eastAsia" w:ascii="楷体" w:hAnsi="楷体" w:eastAsia="楷体" w:cs="楷体"/>
          <w:b/>
          <w:color w:val="auto"/>
          <w:sz w:val="32"/>
          <w:szCs w:val="32"/>
        </w:rPr>
      </w:pPr>
      <w:r>
        <w:rPr>
          <w:rFonts w:hint="eastAsia" w:ascii="楷体" w:hAnsi="楷体" w:eastAsia="楷体" w:cs="楷体"/>
          <w:b/>
          <w:color w:val="auto"/>
          <w:sz w:val="32"/>
          <w:szCs w:val="32"/>
          <w:lang w:eastAsia="zh-CN"/>
        </w:rPr>
        <w:t>（二）</w:t>
      </w:r>
      <w:r>
        <w:rPr>
          <w:rFonts w:hint="eastAsia" w:ascii="楷体" w:hAnsi="楷体" w:eastAsia="楷体" w:cs="楷体"/>
          <w:b/>
          <w:color w:val="auto"/>
          <w:sz w:val="32"/>
          <w:szCs w:val="32"/>
        </w:rPr>
        <w:t>部门决算中项目绩效自评结果。</w:t>
      </w:r>
    </w:p>
    <w:p>
      <w:pPr>
        <w:spacing w:line="578"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lang w:eastAsia="zh-CN"/>
        </w:rPr>
        <w:t>无</w:t>
      </w:r>
    </w:p>
    <w:p>
      <w:pPr>
        <w:spacing w:line="578" w:lineRule="exact"/>
        <w:ind w:firstLine="643" w:firstLineChars="200"/>
        <w:rPr>
          <w:rFonts w:hint="eastAsia" w:ascii="楷体" w:hAnsi="楷体" w:eastAsia="楷体" w:cs="楷体"/>
          <w:b/>
          <w:bCs w:val="0"/>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lang w:eastAsia="zh-CN"/>
          <w14:textFill>
            <w14:solidFill>
              <w14:schemeClr w14:val="tx1"/>
            </w14:solidFill>
          </w14:textFill>
        </w:rPr>
        <w:t>（三）</w:t>
      </w:r>
      <w:r>
        <w:rPr>
          <w:rFonts w:hint="eastAsia" w:ascii="楷体" w:hAnsi="楷体" w:eastAsia="楷体" w:cs="楷体"/>
          <w:b/>
          <w:bCs w:val="0"/>
          <w:color w:val="000000" w:themeColor="text1"/>
          <w:sz w:val="32"/>
          <w:szCs w:val="32"/>
          <w:lang w:eastAsia="zh-CN"/>
          <w14:textFill>
            <w14:solidFill>
              <w14:schemeClr w14:val="tx1"/>
            </w14:solidFill>
          </w14:textFill>
        </w:rPr>
        <w:t>财政评价项目绩效评价结果</w:t>
      </w:r>
      <w:r>
        <w:rPr>
          <w:rFonts w:hint="eastAsia" w:ascii="楷体" w:hAnsi="楷体" w:eastAsia="楷体" w:cs="楷体"/>
          <w:b/>
          <w:bCs w:val="0"/>
          <w:color w:val="000000" w:themeColor="text1"/>
          <w:sz w:val="32"/>
          <w:szCs w:val="32"/>
          <w14:textFill>
            <w14:solidFill>
              <w14:schemeClr w14:val="tx1"/>
            </w14:solidFill>
          </w14:textFill>
        </w:rPr>
        <w:t>。</w:t>
      </w:r>
    </w:p>
    <w:p>
      <w:pPr>
        <w:spacing w:line="578"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无。</w:t>
      </w:r>
    </w:p>
    <w:p>
      <w:pPr>
        <w:spacing w:line="578" w:lineRule="exact"/>
        <w:ind w:firstLine="643" w:firstLineChars="200"/>
        <w:rPr>
          <w:rFonts w:hint="eastAsia"/>
          <w:color w:val="000000" w:themeColor="text1"/>
          <w14:textFill>
            <w14:solidFill>
              <w14:schemeClr w14:val="tx1"/>
            </w14:solidFill>
          </w14:textFill>
        </w:rPr>
      </w:pPr>
      <w:r>
        <w:rPr>
          <w:rFonts w:hint="eastAsia" w:ascii="楷体" w:hAnsi="楷体" w:eastAsia="楷体" w:cs="楷体"/>
          <w:b/>
          <w:color w:val="000000" w:themeColor="text1"/>
          <w:sz w:val="32"/>
          <w:szCs w:val="32"/>
          <w:lang w:eastAsia="zh-CN"/>
          <w14:textFill>
            <w14:solidFill>
              <w14:schemeClr w14:val="tx1"/>
            </w14:solidFill>
          </w14:textFill>
        </w:rPr>
        <w:t>（四）</w:t>
      </w:r>
      <w:r>
        <w:rPr>
          <w:rFonts w:hint="eastAsia" w:ascii="楷体" w:hAnsi="楷体" w:eastAsia="楷体" w:cs="楷体"/>
          <w:b/>
          <w:color w:val="000000" w:themeColor="text1"/>
          <w:sz w:val="32"/>
          <w:szCs w:val="32"/>
          <w:lang w:val="en-US"/>
          <w14:textFill>
            <w14:solidFill>
              <w14:schemeClr w14:val="tx1"/>
            </w14:solidFill>
          </w14:textFill>
        </w:rPr>
        <w:t>部门评价</w:t>
      </w:r>
      <w:r>
        <w:rPr>
          <w:rFonts w:hint="eastAsia" w:ascii="楷体" w:hAnsi="楷体" w:eastAsia="楷体" w:cs="楷体"/>
          <w:b/>
          <w:bCs w:val="0"/>
          <w:color w:val="000000" w:themeColor="text1"/>
          <w:sz w:val="32"/>
          <w:szCs w:val="32"/>
          <w:lang w:val="en-US" w:eastAsia="zh-CN"/>
          <w14:textFill>
            <w14:solidFill>
              <w14:schemeClr w14:val="tx1"/>
            </w14:solidFill>
          </w14:textFill>
        </w:rPr>
        <w:t>项目</w:t>
      </w:r>
      <w:r>
        <w:rPr>
          <w:rFonts w:hint="eastAsia" w:ascii="楷体" w:hAnsi="楷体" w:eastAsia="楷体" w:cs="楷体"/>
          <w:b/>
          <w:color w:val="000000" w:themeColor="text1"/>
          <w:sz w:val="32"/>
          <w:szCs w:val="32"/>
          <w:lang w:val="en-US"/>
          <w14:textFill>
            <w14:solidFill>
              <w14:schemeClr w14:val="tx1"/>
            </w14:solidFill>
          </w14:textFill>
        </w:rPr>
        <w:t>绩效评价结果</w:t>
      </w:r>
      <w:r>
        <w:rPr>
          <w:rFonts w:hint="eastAsia" w:ascii="楷体" w:hAnsi="楷体" w:eastAsia="楷体" w:cs="楷体"/>
          <w:b/>
          <w:color w:val="000000" w:themeColor="text1"/>
          <w:sz w:val="32"/>
          <w:szCs w:val="32"/>
          <w:u w:val="none"/>
          <w14:textFill>
            <w14:solidFill>
              <w14:schemeClr w14:val="tx1"/>
            </w14:solidFill>
          </w14:textFill>
        </w:rPr>
        <w:t>。</w:t>
      </w:r>
    </w:p>
    <w:p>
      <w:pPr>
        <w:spacing w:line="578"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无。</w:t>
      </w:r>
    </w:p>
    <w:p>
      <w:pPr>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十</w:t>
      </w:r>
      <w:r>
        <w:rPr>
          <w:rFonts w:hint="eastAsia" w:ascii="黑体" w:hAnsi="黑体" w:eastAsia="黑体" w:cs="黑体"/>
          <w:bCs/>
          <w:color w:val="auto"/>
          <w:sz w:val="32"/>
          <w:szCs w:val="32"/>
          <w:lang w:eastAsia="zh-CN"/>
        </w:rPr>
        <w:t>三</w:t>
      </w:r>
      <w:r>
        <w:rPr>
          <w:rFonts w:hint="eastAsia" w:ascii="黑体" w:hAnsi="黑体" w:eastAsia="黑体" w:cs="黑体"/>
          <w:bCs/>
          <w:color w:val="auto"/>
          <w:sz w:val="32"/>
          <w:szCs w:val="32"/>
        </w:rPr>
        <w:t>、其他重要事项情况说明。</w:t>
      </w:r>
    </w:p>
    <w:p>
      <w:pPr>
        <w:ind w:firstLine="643" w:firstLineChars="200"/>
        <w:rPr>
          <w:rFonts w:hint="eastAsia" w:ascii="楷体" w:hAnsi="楷体" w:eastAsia="楷体" w:cs="楷体"/>
          <w:b/>
          <w:sz w:val="32"/>
          <w:szCs w:val="32"/>
        </w:rPr>
      </w:pPr>
      <w:bookmarkStart w:id="96" w:name="_Toc32639_WPSOffice_Level2"/>
      <w:bookmarkStart w:id="97" w:name="_Toc18325_WPSOffice_Level2"/>
      <w:bookmarkStart w:id="98" w:name="_Toc15262_WPSOffice_Level2"/>
      <w:bookmarkStart w:id="99" w:name="_Toc23598_WPSOffice_Level2"/>
      <w:bookmarkStart w:id="100" w:name="_Toc15565_WPSOffice_Level2"/>
      <w:bookmarkStart w:id="101" w:name="_Toc5978_WPSOffice_Level2"/>
      <w:r>
        <w:rPr>
          <w:rFonts w:hint="eastAsia" w:ascii="楷体" w:hAnsi="楷体" w:eastAsia="楷体" w:cs="楷体"/>
          <w:b/>
          <w:sz w:val="32"/>
          <w:szCs w:val="32"/>
        </w:rPr>
        <w:t>（一）</w:t>
      </w:r>
      <w:bookmarkStart w:id="102" w:name="_Toc25333_WPSOffice_Level2"/>
      <w:bookmarkStart w:id="103" w:name="_Toc3131_WPSOffice_Level2"/>
      <w:bookmarkStart w:id="104" w:name="_Toc13084_WPSOffice_Level2"/>
      <w:bookmarkStart w:id="105" w:name="_Toc30383_WPSOffice_Level2"/>
      <w:bookmarkStart w:id="106" w:name="_Toc32689_WPSOffice_Level2"/>
      <w:bookmarkStart w:id="107" w:name="_Toc23966_WPSOffice_Level2"/>
      <w:bookmarkEnd w:id="96"/>
      <w:bookmarkEnd w:id="97"/>
      <w:bookmarkEnd w:id="98"/>
      <w:bookmarkEnd w:id="99"/>
      <w:bookmarkEnd w:id="100"/>
      <w:bookmarkEnd w:id="101"/>
      <w:r>
        <w:rPr>
          <w:rFonts w:hint="eastAsia" w:ascii="楷体" w:hAnsi="楷体" w:eastAsia="楷体" w:cs="楷体"/>
          <w:b/>
          <w:sz w:val="32"/>
          <w:szCs w:val="32"/>
        </w:rPr>
        <w:t>政府采购支出情况。</w:t>
      </w:r>
      <w:bookmarkEnd w:id="102"/>
      <w:bookmarkEnd w:id="103"/>
      <w:bookmarkEnd w:id="104"/>
      <w:bookmarkEnd w:id="105"/>
      <w:bookmarkEnd w:id="106"/>
      <w:bookmarkEnd w:id="107"/>
    </w:p>
    <w:p>
      <w:pPr>
        <w:ind w:firstLine="640" w:firstLineChars="200"/>
        <w:rPr>
          <w:rFonts w:hint="eastAsia" w:ascii="仿宋_GB2312" w:hAnsi="ˎ̥" w:eastAsia="仿宋_GB2312"/>
          <w:sz w:val="32"/>
          <w:szCs w:val="32"/>
        </w:rPr>
      </w:pPr>
      <w:bookmarkStart w:id="108" w:name="_Toc15129_WPSOffice_Level2"/>
      <w:bookmarkStart w:id="109" w:name="_Toc10902_WPSOffice_Level2"/>
      <w:bookmarkStart w:id="110" w:name="_Toc6016_WPSOffice_Level2"/>
      <w:bookmarkStart w:id="111" w:name="_Toc29584_WPSOffice_Level2"/>
      <w:bookmarkStart w:id="112" w:name="_Toc19989_WPSOffice_Level2"/>
      <w:bookmarkStart w:id="113" w:name="_Toc527_WPSOffice_Level2"/>
      <w:r>
        <w:rPr>
          <w:rFonts w:hint="eastAsia" w:ascii="仿宋_GB2312" w:hAnsi="ˎ̥" w:eastAsia="仿宋_GB2312"/>
          <w:sz w:val="32"/>
          <w:szCs w:val="32"/>
          <w:lang w:val="en-US" w:eastAsia="zh-CN"/>
        </w:rPr>
        <w:t>2022</w:t>
      </w:r>
      <w:r>
        <w:rPr>
          <w:rFonts w:hint="eastAsia" w:ascii="仿宋_GB2312" w:hAnsi="ˎ̥" w:eastAsia="仿宋_GB2312"/>
          <w:sz w:val="32"/>
          <w:szCs w:val="32"/>
          <w:lang w:eastAsia="zh-CN"/>
        </w:rPr>
        <w:t>年度天涯区马岭大社区综合服务中心</w:t>
      </w:r>
      <w:r>
        <w:rPr>
          <w:rFonts w:hint="eastAsia" w:ascii="仿宋_GB2312" w:hAnsi="ˎ̥" w:eastAsia="仿宋_GB2312"/>
          <w:sz w:val="32"/>
          <w:szCs w:val="32"/>
        </w:rPr>
        <w:t>政府采购支出总额</w:t>
      </w:r>
      <w:r>
        <w:rPr>
          <w:rFonts w:hint="eastAsia" w:ascii="仿宋_GB2312" w:hAnsi="ˎ̥" w:eastAsia="仿宋_GB2312"/>
          <w:sz w:val="32"/>
          <w:szCs w:val="32"/>
          <w:lang w:val="en-US" w:eastAsia="zh-CN"/>
        </w:rPr>
        <w:t>248.57</w:t>
      </w:r>
      <w:r>
        <w:rPr>
          <w:rFonts w:hint="eastAsia" w:ascii="仿宋_GB2312" w:hAnsi="ˎ̥" w:eastAsia="仿宋_GB2312"/>
          <w:sz w:val="32"/>
          <w:szCs w:val="32"/>
        </w:rPr>
        <w:t>万元，其中：政府采购货物支出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万元、政府采购工程支出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万元、政府采购服务支出</w:t>
      </w:r>
      <w:r>
        <w:rPr>
          <w:rFonts w:hint="eastAsia" w:ascii="仿宋_GB2312" w:hAnsi="ˎ̥" w:eastAsia="仿宋_GB2312"/>
          <w:sz w:val="32"/>
          <w:szCs w:val="32"/>
          <w:lang w:val="en-US" w:eastAsia="zh-CN"/>
        </w:rPr>
        <w:t>248.57</w:t>
      </w:r>
      <w:r>
        <w:rPr>
          <w:rFonts w:hint="eastAsia" w:ascii="仿宋_GB2312" w:hAnsi="ˎ̥" w:eastAsia="仿宋_GB2312"/>
          <w:sz w:val="32"/>
          <w:szCs w:val="32"/>
        </w:rPr>
        <w:t>万元。授予中小企业合同金额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%，其中：授予小微企业合同金额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ind w:firstLine="643" w:firstLineChars="200"/>
        <w:rPr>
          <w:rFonts w:hint="eastAsia" w:ascii="楷体" w:hAnsi="楷体" w:eastAsia="楷体" w:cs="楷体"/>
          <w:b/>
          <w:sz w:val="32"/>
          <w:szCs w:val="32"/>
        </w:rPr>
      </w:pPr>
      <w:r>
        <w:rPr>
          <w:rFonts w:hint="eastAsia" w:ascii="楷体" w:hAnsi="楷体" w:eastAsia="楷体" w:cs="楷体"/>
          <w:b/>
          <w:sz w:val="32"/>
          <w:szCs w:val="32"/>
        </w:rPr>
        <w:t>（三）国有资产占用情况。</w:t>
      </w:r>
      <w:bookmarkEnd w:id="108"/>
      <w:bookmarkEnd w:id="109"/>
      <w:bookmarkEnd w:id="110"/>
      <w:bookmarkEnd w:id="111"/>
      <w:bookmarkEnd w:id="112"/>
      <w:bookmarkEnd w:id="113"/>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截至</w:t>
      </w:r>
      <w:r>
        <w:rPr>
          <w:rFonts w:hint="eastAsia" w:ascii="仿宋_GB2312" w:hAnsi="ˎ̥" w:eastAsia="仿宋_GB2312"/>
          <w:sz w:val="32"/>
          <w:szCs w:val="32"/>
          <w:lang w:val="en-US" w:eastAsia="zh-CN"/>
        </w:rPr>
        <w:t>2022</w:t>
      </w:r>
      <w:r>
        <w:rPr>
          <w:rFonts w:hint="eastAsia" w:ascii="仿宋_GB2312" w:hAnsi="ˎ̥" w:eastAsia="仿宋_GB2312"/>
          <w:sz w:val="32"/>
          <w:szCs w:val="32"/>
        </w:rPr>
        <w:t>年度12月31日，本部门共有</w:t>
      </w:r>
      <w:r>
        <w:rPr>
          <w:rFonts w:hint="eastAsia" w:ascii="仿宋_GB2312" w:hAnsi="ˎ̥" w:eastAsia="仿宋_GB2312"/>
          <w:sz w:val="32"/>
          <w:szCs w:val="32"/>
          <w:lang w:eastAsia="zh-CN"/>
        </w:rPr>
        <w:t>公务</w:t>
      </w:r>
      <w:r>
        <w:rPr>
          <w:rFonts w:hint="eastAsia" w:ascii="仿宋_GB2312" w:hAnsi="ˎ̥" w:eastAsia="仿宋_GB2312"/>
          <w:sz w:val="32"/>
          <w:szCs w:val="32"/>
        </w:rPr>
        <w:t>车辆</w:t>
      </w:r>
      <w:r>
        <w:rPr>
          <w:rFonts w:hint="eastAsia" w:ascii="仿宋_GB2312" w:hAnsi="ˎ̥" w:eastAsia="仿宋_GB2312"/>
          <w:sz w:val="32"/>
          <w:szCs w:val="32"/>
          <w:lang w:val="en-US" w:eastAsia="zh-CN"/>
        </w:rPr>
        <w:t>0</w:t>
      </w:r>
      <w:r>
        <w:rPr>
          <w:rFonts w:hint="eastAsia" w:ascii="仿宋_GB2312" w:hAnsi="ˎ̥" w:eastAsia="仿宋_GB2312"/>
          <w:sz w:val="32"/>
          <w:szCs w:val="32"/>
        </w:rPr>
        <w:t>辆，其中，部级领导干部用车</w:t>
      </w:r>
      <w:r>
        <w:rPr>
          <w:rFonts w:hint="eastAsia" w:ascii="仿宋_GB2312" w:hAnsi="ˎ̥" w:eastAsia="仿宋_GB2312"/>
          <w:sz w:val="32"/>
          <w:szCs w:val="32"/>
          <w:lang w:val="en-US" w:eastAsia="zh-CN"/>
        </w:rPr>
        <w:t>0</w:t>
      </w:r>
      <w:r>
        <w:rPr>
          <w:rFonts w:hint="eastAsia" w:ascii="仿宋_GB2312" w:hAnsi="ˎ̥" w:eastAsia="仿宋_GB2312"/>
          <w:sz w:val="32"/>
          <w:szCs w:val="32"/>
        </w:rPr>
        <w:t>辆、一般公务用车</w:t>
      </w:r>
      <w:r>
        <w:rPr>
          <w:rFonts w:hint="eastAsia" w:ascii="仿宋_GB2312" w:hAnsi="ˎ̥" w:eastAsia="仿宋_GB2312"/>
          <w:sz w:val="32"/>
          <w:szCs w:val="32"/>
          <w:lang w:val="en-US" w:eastAsia="zh-CN"/>
        </w:rPr>
        <w:t>0</w:t>
      </w:r>
      <w:r>
        <w:rPr>
          <w:rFonts w:hint="eastAsia" w:ascii="仿宋_GB2312" w:hAnsi="ˎ̥" w:eastAsia="仿宋_GB2312"/>
          <w:sz w:val="32"/>
          <w:szCs w:val="32"/>
        </w:rPr>
        <w:t>辆、一般执法执勤用车</w:t>
      </w:r>
      <w:r>
        <w:rPr>
          <w:rFonts w:hint="eastAsia" w:ascii="仿宋_GB2312" w:hAnsi="ˎ̥" w:eastAsia="仿宋_GB2312"/>
          <w:sz w:val="32"/>
          <w:szCs w:val="32"/>
          <w:lang w:val="en-US" w:eastAsia="zh-CN"/>
        </w:rPr>
        <w:t>0</w:t>
      </w:r>
      <w:r>
        <w:rPr>
          <w:rFonts w:hint="eastAsia" w:ascii="仿宋_GB2312" w:hAnsi="ˎ̥" w:eastAsia="仿宋_GB2312"/>
          <w:sz w:val="32"/>
          <w:szCs w:val="32"/>
        </w:rPr>
        <w:t>辆、特种专业技术用车</w:t>
      </w:r>
      <w:r>
        <w:rPr>
          <w:rFonts w:hint="eastAsia" w:ascii="仿宋_GB2312" w:hAnsi="ˎ̥" w:eastAsia="仿宋_GB2312"/>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sz w:val="32"/>
          <w:szCs w:val="32"/>
          <w:lang w:val="en-US" w:eastAsia="zh-CN"/>
        </w:rPr>
        <w:t>0</w:t>
      </w:r>
      <w:r>
        <w:rPr>
          <w:rFonts w:hint="eastAsia" w:ascii="仿宋_GB2312" w:hAnsi="ˎ̥" w:eastAsia="仿宋_GB2312"/>
          <w:sz w:val="32"/>
          <w:szCs w:val="32"/>
        </w:rPr>
        <w:t>辆；单位价值50万元以上通用设备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台（套），单价100万元以上专用设备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本部门占用房屋面积</w:t>
      </w:r>
      <w:r>
        <w:rPr>
          <w:rFonts w:hint="eastAsia" w:ascii="仿宋_GB2312" w:hAnsi="ˎ̥" w:eastAsia="仿宋_GB2312"/>
          <w:sz w:val="32"/>
          <w:szCs w:val="32"/>
          <w:lang w:val="en-US" w:eastAsia="zh-CN"/>
        </w:rPr>
        <w:t>0</w:t>
      </w:r>
      <w:r>
        <w:rPr>
          <w:rFonts w:hint="eastAsia" w:ascii="仿宋_GB2312" w:hAnsi="ˎ̥" w:eastAsia="仿宋_GB2312"/>
          <w:sz w:val="32"/>
          <w:szCs w:val="32"/>
        </w:rPr>
        <w:t>平方米，其中：办公用</w:t>
      </w:r>
      <w:r>
        <w:rPr>
          <w:rFonts w:hint="eastAsia" w:ascii="仿宋_GB2312" w:hAnsi="ˎ̥" w:eastAsia="仿宋_GB2312"/>
          <w:sz w:val="32"/>
          <w:szCs w:val="32"/>
          <w:lang w:eastAsia="zh-CN"/>
        </w:rPr>
        <w:t>房</w:t>
      </w:r>
      <w:r>
        <w:rPr>
          <w:rFonts w:hint="eastAsia" w:ascii="仿宋_GB2312" w:hAnsi="ˎ̥" w:eastAsia="仿宋_GB2312"/>
          <w:sz w:val="32"/>
          <w:szCs w:val="32"/>
          <w:lang w:val="en-US" w:eastAsia="zh-CN"/>
        </w:rPr>
        <w:t>0</w:t>
      </w:r>
      <w:r>
        <w:rPr>
          <w:rFonts w:hint="eastAsia" w:ascii="仿宋_GB2312" w:hAnsi="ˎ̥" w:eastAsia="仿宋_GB2312"/>
          <w:sz w:val="32"/>
          <w:szCs w:val="32"/>
        </w:rPr>
        <w:t>平方米，业务用房</w:t>
      </w:r>
      <w:r>
        <w:rPr>
          <w:rFonts w:hint="eastAsia" w:ascii="仿宋_GB2312" w:hAnsi="ˎ̥" w:eastAsia="仿宋_GB2312"/>
          <w:sz w:val="32"/>
          <w:szCs w:val="32"/>
          <w:lang w:val="en-US" w:eastAsia="zh-CN"/>
        </w:rPr>
        <w:t>0</w:t>
      </w:r>
      <w:r>
        <w:rPr>
          <w:rFonts w:hint="eastAsia" w:ascii="仿宋_GB2312" w:hAnsi="ˎ̥" w:eastAsia="仿宋_GB2312"/>
          <w:sz w:val="32"/>
          <w:szCs w:val="32"/>
        </w:rPr>
        <w:t>平方米，其他（不含构筑物）</w:t>
      </w:r>
      <w:r>
        <w:rPr>
          <w:rFonts w:hint="eastAsia" w:ascii="仿宋_GB2312" w:hAnsi="ˎ̥" w:eastAsia="仿宋_GB2312"/>
          <w:sz w:val="32"/>
          <w:szCs w:val="32"/>
          <w:lang w:val="en-US" w:eastAsia="zh-CN"/>
        </w:rPr>
        <w:t>0</w:t>
      </w:r>
      <w:r>
        <w:rPr>
          <w:rFonts w:hint="eastAsia" w:ascii="仿宋_GB2312" w:hAnsi="ˎ̥" w:eastAsia="仿宋_GB2312"/>
          <w:sz w:val="32"/>
          <w:szCs w:val="32"/>
        </w:rPr>
        <w:t>平方米。</w:t>
      </w:r>
    </w:p>
    <w:p>
      <w:pPr>
        <w:jc w:val="both"/>
        <w:rPr>
          <w:rFonts w:hint="eastAsia" w:ascii="黑体" w:hAnsi="ˎ̥" w:eastAsia="黑体"/>
          <w:sz w:val="32"/>
          <w:szCs w:val="32"/>
          <w:lang w:val="en-US" w:eastAsia="zh-CN"/>
        </w:rPr>
      </w:pPr>
      <w:bookmarkStart w:id="114" w:name="_Toc11039_WPSOffice_Level1"/>
      <w:bookmarkStart w:id="115" w:name="_Toc17580_WPSOffice_Level1"/>
      <w:bookmarkStart w:id="116" w:name="_Toc4398_WPSOffice_Level1"/>
      <w:bookmarkStart w:id="117" w:name="_Toc15425_WPSOffice_Level1"/>
      <w:bookmarkStart w:id="118" w:name="_Toc8808_WPSOffice_Level1"/>
      <w:bookmarkStart w:id="119" w:name="_Toc8874_WPSOffice_Level1"/>
      <w:r>
        <w:rPr>
          <w:rFonts w:hint="eastAsia" w:ascii="黑体" w:hAnsi="ˎ̥" w:eastAsia="黑体"/>
          <w:sz w:val="32"/>
          <w:szCs w:val="32"/>
          <w:lang w:val="en-US" w:eastAsia="zh-CN"/>
        </w:rPr>
        <w:t xml:space="preserve">            </w:t>
      </w:r>
    </w:p>
    <w:p>
      <w:pPr>
        <w:jc w:val="both"/>
        <w:rPr>
          <w:rFonts w:hint="eastAsia" w:ascii="黑体" w:hAnsi="ˎ̥" w:eastAsia="黑体"/>
          <w:sz w:val="32"/>
          <w:szCs w:val="32"/>
        </w:rPr>
      </w:pPr>
      <w:r>
        <w:rPr>
          <w:rFonts w:hint="eastAsia" w:ascii="黑体" w:hAnsi="ˎ̥" w:eastAsia="黑体"/>
          <w:sz w:val="32"/>
          <w:szCs w:val="32"/>
          <w:lang w:val="en-US" w:eastAsia="zh-CN"/>
        </w:rPr>
        <w:t xml:space="preserve">             </w:t>
      </w:r>
      <w:r>
        <w:rPr>
          <w:rFonts w:hint="eastAsia" w:ascii="黑体" w:hAnsi="ˎ̥" w:eastAsia="黑体"/>
          <w:sz w:val="32"/>
          <w:szCs w:val="32"/>
        </w:rPr>
        <w:t>第四部分  名词解释</w:t>
      </w:r>
      <w:bookmarkEnd w:id="114"/>
      <w:bookmarkEnd w:id="115"/>
      <w:bookmarkEnd w:id="116"/>
      <w:bookmarkEnd w:id="117"/>
      <w:bookmarkEnd w:id="118"/>
      <w:bookmarkEnd w:id="119"/>
    </w:p>
    <w:p>
      <w:pPr>
        <w:rPr>
          <w:rFonts w:hint="eastAsia" w:ascii="仿宋_GB2312" w:hAnsi="ˎ̥" w:eastAsia="仿宋_GB2312"/>
          <w:sz w:val="32"/>
          <w:szCs w:val="32"/>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rPr>
        <w:t>一、财政拨款收入：指本级财政当年拨付的资金。</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二、事业收入：指事业单位开展专业业务活动及辅助活动取得的收入。</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三、经营收入：指事业单位在专业业务活动及其辅助活动之外开展非独立核算经营活动取得的收入。</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四、其他收入：指除上述“财政拨款收入”“事业收入”“经营收入”等以外的收入。</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六、年初结转和结余：指以前年度尚未完成、结转到本年按有关规定继续使用的资金。</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七、结余分配：指事业单位按规定提取的职工福利基金、事业基金和缴纳的所得税，以及建设单位按规定应交回的基本建设竣工项目结余资金。</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八、年末结转和结余：指本年度或以前年度预算安排、因客观条件发生变化无法按原计划实施，需要延迟到以后年度按有关规定继续使用的资金。</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九、基本支出：指为保障机构正常运转、完成日常工作任务而发生的人员支出和公用支出。</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十、项目支出：指在基本支出之外为完成特定行政任务和事业发展目标所发生的支出。</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十二、“三公”经费：纳入本级财政预决算管理的“三公”经费，是指本级部门用一般公共预算财政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
    <w:sectPr>
      <w:footerReference r:id="rId3" w:type="default"/>
      <w:footerReference r:id="rId4" w:type="even"/>
      <w:pgSz w:w="11906" w:h="16838"/>
      <w:pgMar w:top="1440" w:right="14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swiss"/>
    <w:pitch w:val="default"/>
    <w:sig w:usb0="00000000" w:usb1="00000000" w:usb2="00000000"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ˎ̥">
    <w:altName w:val="Times New Roman"/>
    <w:panose1 w:val="00000000000000000000"/>
    <w:charset w:val="00"/>
    <w:family w:val="decorative"/>
    <w:pitch w:val="default"/>
    <w:sig w:usb0="00000000" w:usb1="00000000" w:usb2="00000000"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6</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34547743">
    <w:nsid w:val="616D381F"/>
    <w:multiLevelType w:val="singleLevel"/>
    <w:tmpl w:val="616D381F"/>
    <w:lvl w:ilvl="0" w:tentative="1">
      <w:start w:val="7"/>
      <w:numFmt w:val="chineseCounting"/>
      <w:suff w:val="nothing"/>
      <w:lvlText w:val="%1、"/>
      <w:lvlJc w:val="left"/>
    </w:lvl>
  </w:abstractNum>
  <w:abstractNum w:abstractNumId="1668491919">
    <w:nsid w:val="63732A8F"/>
    <w:multiLevelType w:val="singleLevel"/>
    <w:tmpl w:val="63732A8F"/>
    <w:lvl w:ilvl="0" w:tentative="1">
      <w:start w:val="2"/>
      <w:numFmt w:val="decimal"/>
      <w:suff w:val="nothing"/>
      <w:lvlText w:val="%1."/>
      <w:lvlJc w:val="left"/>
    </w:lvl>
  </w:abstractNum>
  <w:num w:numId="1">
    <w:abstractNumId w:val="1634547743"/>
  </w:num>
  <w:num w:numId="2">
    <w:abstractNumId w:val="16684919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83BA0"/>
    <w:rsid w:val="00084092"/>
    <w:rsid w:val="00121688"/>
    <w:rsid w:val="001632C7"/>
    <w:rsid w:val="006E0FBF"/>
    <w:rsid w:val="007A36A8"/>
    <w:rsid w:val="00CF2C69"/>
    <w:rsid w:val="010D3719"/>
    <w:rsid w:val="015E59AD"/>
    <w:rsid w:val="01683034"/>
    <w:rsid w:val="02251B44"/>
    <w:rsid w:val="023B3F57"/>
    <w:rsid w:val="02A92458"/>
    <w:rsid w:val="02B44151"/>
    <w:rsid w:val="03345A30"/>
    <w:rsid w:val="0335707E"/>
    <w:rsid w:val="046E7357"/>
    <w:rsid w:val="04D777E6"/>
    <w:rsid w:val="04FD48FB"/>
    <w:rsid w:val="058E0D8B"/>
    <w:rsid w:val="06412618"/>
    <w:rsid w:val="06A30B2C"/>
    <w:rsid w:val="071F0E00"/>
    <w:rsid w:val="072E4047"/>
    <w:rsid w:val="07771C30"/>
    <w:rsid w:val="07844B31"/>
    <w:rsid w:val="08821190"/>
    <w:rsid w:val="0956786B"/>
    <w:rsid w:val="099B1E6F"/>
    <w:rsid w:val="09EB2E83"/>
    <w:rsid w:val="0A2B0A7B"/>
    <w:rsid w:val="0A386E3F"/>
    <w:rsid w:val="0B906199"/>
    <w:rsid w:val="0BDA7C25"/>
    <w:rsid w:val="0BEB1D4A"/>
    <w:rsid w:val="0C766256"/>
    <w:rsid w:val="0C9E7F48"/>
    <w:rsid w:val="0CA315A2"/>
    <w:rsid w:val="0CB50A79"/>
    <w:rsid w:val="0CBF316D"/>
    <w:rsid w:val="0D6B3512"/>
    <w:rsid w:val="0D7A0E15"/>
    <w:rsid w:val="0D850FAD"/>
    <w:rsid w:val="0DA76348"/>
    <w:rsid w:val="0DB56F63"/>
    <w:rsid w:val="0DC37B82"/>
    <w:rsid w:val="0EB809AE"/>
    <w:rsid w:val="0EEF5A71"/>
    <w:rsid w:val="0FA66C6C"/>
    <w:rsid w:val="0FE84FC9"/>
    <w:rsid w:val="0FF73EFC"/>
    <w:rsid w:val="10F63E55"/>
    <w:rsid w:val="11507C62"/>
    <w:rsid w:val="125B6F12"/>
    <w:rsid w:val="127D4FC6"/>
    <w:rsid w:val="129C346F"/>
    <w:rsid w:val="13795D00"/>
    <w:rsid w:val="13905664"/>
    <w:rsid w:val="14411F6D"/>
    <w:rsid w:val="146A5E76"/>
    <w:rsid w:val="147F1E31"/>
    <w:rsid w:val="14880580"/>
    <w:rsid w:val="148C4040"/>
    <w:rsid w:val="14A0168A"/>
    <w:rsid w:val="14A11363"/>
    <w:rsid w:val="14A766F8"/>
    <w:rsid w:val="151A1B28"/>
    <w:rsid w:val="15615ED7"/>
    <w:rsid w:val="16255251"/>
    <w:rsid w:val="16ED7F1F"/>
    <w:rsid w:val="16FC1A17"/>
    <w:rsid w:val="17263B72"/>
    <w:rsid w:val="174D6645"/>
    <w:rsid w:val="18A72AB9"/>
    <w:rsid w:val="1A2A3212"/>
    <w:rsid w:val="1AAD1C60"/>
    <w:rsid w:val="1B225516"/>
    <w:rsid w:val="1BC34D5D"/>
    <w:rsid w:val="1CEF13BF"/>
    <w:rsid w:val="1D36418C"/>
    <w:rsid w:val="1D4629AF"/>
    <w:rsid w:val="1DC47C5A"/>
    <w:rsid w:val="1E22041A"/>
    <w:rsid w:val="1E4577E3"/>
    <w:rsid w:val="1F0B0C30"/>
    <w:rsid w:val="1F1D4392"/>
    <w:rsid w:val="1FB56525"/>
    <w:rsid w:val="1FD40A48"/>
    <w:rsid w:val="21670C12"/>
    <w:rsid w:val="21AF0295"/>
    <w:rsid w:val="22264952"/>
    <w:rsid w:val="222A0FB4"/>
    <w:rsid w:val="224D284F"/>
    <w:rsid w:val="22A34025"/>
    <w:rsid w:val="23A23F48"/>
    <w:rsid w:val="24451096"/>
    <w:rsid w:val="246558A3"/>
    <w:rsid w:val="24863DAA"/>
    <w:rsid w:val="2582205E"/>
    <w:rsid w:val="2582250C"/>
    <w:rsid w:val="25EA3794"/>
    <w:rsid w:val="26A529AA"/>
    <w:rsid w:val="27146BA3"/>
    <w:rsid w:val="272B6378"/>
    <w:rsid w:val="27943D0B"/>
    <w:rsid w:val="27D527C0"/>
    <w:rsid w:val="284764C0"/>
    <w:rsid w:val="284E1DBC"/>
    <w:rsid w:val="28604BA7"/>
    <w:rsid w:val="2889666C"/>
    <w:rsid w:val="28910366"/>
    <w:rsid w:val="29194022"/>
    <w:rsid w:val="29F83BA0"/>
    <w:rsid w:val="2A68270B"/>
    <w:rsid w:val="2A760BBB"/>
    <w:rsid w:val="2AFD055B"/>
    <w:rsid w:val="2B3B04DD"/>
    <w:rsid w:val="2B3F6B13"/>
    <w:rsid w:val="2C8409F5"/>
    <w:rsid w:val="2CBE2CDE"/>
    <w:rsid w:val="2E0405C3"/>
    <w:rsid w:val="2E0A0516"/>
    <w:rsid w:val="2E6E1E49"/>
    <w:rsid w:val="2FAB539B"/>
    <w:rsid w:val="2FC815C4"/>
    <w:rsid w:val="300C0980"/>
    <w:rsid w:val="301D0D98"/>
    <w:rsid w:val="322F0252"/>
    <w:rsid w:val="324038EE"/>
    <w:rsid w:val="32523CA7"/>
    <w:rsid w:val="325F6549"/>
    <w:rsid w:val="33684AAD"/>
    <w:rsid w:val="33775CF1"/>
    <w:rsid w:val="338B563B"/>
    <w:rsid w:val="3397170A"/>
    <w:rsid w:val="33C105E5"/>
    <w:rsid w:val="33DE0149"/>
    <w:rsid w:val="34D02AB6"/>
    <w:rsid w:val="357F72A3"/>
    <w:rsid w:val="35866E71"/>
    <w:rsid w:val="3602319C"/>
    <w:rsid w:val="363D4675"/>
    <w:rsid w:val="36637A97"/>
    <w:rsid w:val="377D656E"/>
    <w:rsid w:val="37E17485"/>
    <w:rsid w:val="38D65E56"/>
    <w:rsid w:val="39AB5772"/>
    <w:rsid w:val="39AD02B4"/>
    <w:rsid w:val="3A96614C"/>
    <w:rsid w:val="3B2953C2"/>
    <w:rsid w:val="3B9A5CE3"/>
    <w:rsid w:val="3BF25F6A"/>
    <w:rsid w:val="3C45386B"/>
    <w:rsid w:val="3D463BEB"/>
    <w:rsid w:val="3E554EE2"/>
    <w:rsid w:val="3E5C7908"/>
    <w:rsid w:val="3F650BC4"/>
    <w:rsid w:val="413A75C1"/>
    <w:rsid w:val="41680565"/>
    <w:rsid w:val="41AA26DD"/>
    <w:rsid w:val="41FC7D40"/>
    <w:rsid w:val="424877CB"/>
    <w:rsid w:val="42585151"/>
    <w:rsid w:val="429814A1"/>
    <w:rsid w:val="42D30E8B"/>
    <w:rsid w:val="438E140A"/>
    <w:rsid w:val="444A4BE0"/>
    <w:rsid w:val="44BF6AE1"/>
    <w:rsid w:val="44CA7756"/>
    <w:rsid w:val="45484BD0"/>
    <w:rsid w:val="456F36B8"/>
    <w:rsid w:val="458B2B06"/>
    <w:rsid w:val="45D7507C"/>
    <w:rsid w:val="45E92CEE"/>
    <w:rsid w:val="463E2890"/>
    <w:rsid w:val="4646441A"/>
    <w:rsid w:val="466E2E09"/>
    <w:rsid w:val="46EE2F5C"/>
    <w:rsid w:val="473D58EE"/>
    <w:rsid w:val="47791ECF"/>
    <w:rsid w:val="47A34BEF"/>
    <w:rsid w:val="47BD34A5"/>
    <w:rsid w:val="49732D2C"/>
    <w:rsid w:val="49A23156"/>
    <w:rsid w:val="4A4618D2"/>
    <w:rsid w:val="4AA17221"/>
    <w:rsid w:val="4B42452E"/>
    <w:rsid w:val="4B731B29"/>
    <w:rsid w:val="4BCF33F2"/>
    <w:rsid w:val="4C466814"/>
    <w:rsid w:val="4C50165C"/>
    <w:rsid w:val="4C642EDF"/>
    <w:rsid w:val="4DA605F6"/>
    <w:rsid w:val="4DB65E94"/>
    <w:rsid w:val="4DC03C43"/>
    <w:rsid w:val="4E9C60E2"/>
    <w:rsid w:val="4F315E82"/>
    <w:rsid w:val="4F35648B"/>
    <w:rsid w:val="4F430B59"/>
    <w:rsid w:val="4F576D5A"/>
    <w:rsid w:val="4F5F2D71"/>
    <w:rsid w:val="4F6E03AA"/>
    <w:rsid w:val="4FC03C8B"/>
    <w:rsid w:val="50E74BE1"/>
    <w:rsid w:val="51B16E3A"/>
    <w:rsid w:val="51FD6225"/>
    <w:rsid w:val="525D1B90"/>
    <w:rsid w:val="53CC7B8D"/>
    <w:rsid w:val="54B20AB3"/>
    <w:rsid w:val="55FF252B"/>
    <w:rsid w:val="565E43CA"/>
    <w:rsid w:val="57076853"/>
    <w:rsid w:val="57147D87"/>
    <w:rsid w:val="571E304C"/>
    <w:rsid w:val="574B792C"/>
    <w:rsid w:val="57B32380"/>
    <w:rsid w:val="57DC7E86"/>
    <w:rsid w:val="580B5040"/>
    <w:rsid w:val="58296775"/>
    <w:rsid w:val="586F0356"/>
    <w:rsid w:val="587431AF"/>
    <w:rsid w:val="587F0230"/>
    <w:rsid w:val="58B77258"/>
    <w:rsid w:val="5AE81031"/>
    <w:rsid w:val="5B4A1DFE"/>
    <w:rsid w:val="5BC773B5"/>
    <w:rsid w:val="5BE6061E"/>
    <w:rsid w:val="5C5E4D85"/>
    <w:rsid w:val="5C833199"/>
    <w:rsid w:val="5CF95FC7"/>
    <w:rsid w:val="5DF563D6"/>
    <w:rsid w:val="5E545B85"/>
    <w:rsid w:val="5E6D1DBB"/>
    <w:rsid w:val="5E866C3C"/>
    <w:rsid w:val="5FCB40C4"/>
    <w:rsid w:val="60161518"/>
    <w:rsid w:val="606B6163"/>
    <w:rsid w:val="61454F5D"/>
    <w:rsid w:val="61D46779"/>
    <w:rsid w:val="62124B3D"/>
    <w:rsid w:val="626B56B6"/>
    <w:rsid w:val="62797A09"/>
    <w:rsid w:val="63505A5D"/>
    <w:rsid w:val="636B2954"/>
    <w:rsid w:val="63BF01A1"/>
    <w:rsid w:val="641E3035"/>
    <w:rsid w:val="644B0B18"/>
    <w:rsid w:val="64612FEC"/>
    <w:rsid w:val="6461499F"/>
    <w:rsid w:val="64BA662F"/>
    <w:rsid w:val="64E21817"/>
    <w:rsid w:val="653A4090"/>
    <w:rsid w:val="65755BFC"/>
    <w:rsid w:val="659C4CFC"/>
    <w:rsid w:val="65A628D1"/>
    <w:rsid w:val="65D34206"/>
    <w:rsid w:val="664E6E98"/>
    <w:rsid w:val="66594A9C"/>
    <w:rsid w:val="66E815D4"/>
    <w:rsid w:val="66F8319B"/>
    <w:rsid w:val="671C5A48"/>
    <w:rsid w:val="68312439"/>
    <w:rsid w:val="68382536"/>
    <w:rsid w:val="68CD668B"/>
    <w:rsid w:val="6AC9186A"/>
    <w:rsid w:val="6B1C4C16"/>
    <w:rsid w:val="6B2B410E"/>
    <w:rsid w:val="6B692A1D"/>
    <w:rsid w:val="6BAB3AF5"/>
    <w:rsid w:val="6C0E2EFF"/>
    <w:rsid w:val="6C3C0231"/>
    <w:rsid w:val="6C464EBC"/>
    <w:rsid w:val="6D1F57EC"/>
    <w:rsid w:val="6DB46F6A"/>
    <w:rsid w:val="6DCE5209"/>
    <w:rsid w:val="6DD9138D"/>
    <w:rsid w:val="6E043654"/>
    <w:rsid w:val="6F2C13F4"/>
    <w:rsid w:val="6FA85732"/>
    <w:rsid w:val="7035443C"/>
    <w:rsid w:val="7095691D"/>
    <w:rsid w:val="70CF38DE"/>
    <w:rsid w:val="70E50B0D"/>
    <w:rsid w:val="7105496A"/>
    <w:rsid w:val="710671DB"/>
    <w:rsid w:val="717C36EB"/>
    <w:rsid w:val="72D5485B"/>
    <w:rsid w:val="73307BC5"/>
    <w:rsid w:val="735B498C"/>
    <w:rsid w:val="73A67BF1"/>
    <w:rsid w:val="74355279"/>
    <w:rsid w:val="750514E0"/>
    <w:rsid w:val="755D28BA"/>
    <w:rsid w:val="75600230"/>
    <w:rsid w:val="7561034B"/>
    <w:rsid w:val="76981E32"/>
    <w:rsid w:val="77C02B12"/>
    <w:rsid w:val="77D4739C"/>
    <w:rsid w:val="77F44547"/>
    <w:rsid w:val="782E54F5"/>
    <w:rsid w:val="785742A6"/>
    <w:rsid w:val="78EF1F54"/>
    <w:rsid w:val="791524CF"/>
    <w:rsid w:val="79873AAD"/>
    <w:rsid w:val="79B14157"/>
    <w:rsid w:val="7A306B40"/>
    <w:rsid w:val="7A8B5DFD"/>
    <w:rsid w:val="7AED424E"/>
    <w:rsid w:val="7BB26984"/>
    <w:rsid w:val="7C282729"/>
    <w:rsid w:val="7C940DEC"/>
    <w:rsid w:val="7CCD6887"/>
    <w:rsid w:val="7CD579D4"/>
    <w:rsid w:val="7CE73DAA"/>
    <w:rsid w:val="7CFB073A"/>
    <w:rsid w:val="7D551E9D"/>
    <w:rsid w:val="7D5A2CB2"/>
    <w:rsid w:val="7D8E5D95"/>
    <w:rsid w:val="7DCD6E02"/>
    <w:rsid w:val="7DE94025"/>
    <w:rsid w:val="7DFA2C03"/>
    <w:rsid w:val="7ED52B8C"/>
    <w:rsid w:val="7F2C647C"/>
    <w:rsid w:val="7F8C5DDE"/>
    <w:rsid w:val="7FAA41AF"/>
    <w:rsid w:val="7FC146B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00" w:beforeAutospacing="1" w:after="100" w:afterAutospacing="1" w:line="360" w:lineRule="auto"/>
      <w:outlineLvl w:val="1"/>
    </w:pPr>
    <w:rPr>
      <w:rFonts w:ascii="Arial" w:hAnsi="Arial" w:eastAsia="黑体"/>
      <w:b/>
      <w:bCs/>
      <w:sz w:val="36"/>
      <w:szCs w:val="32"/>
    </w:rPr>
  </w:style>
  <w:style w:type="character" w:default="1" w:styleId="5">
    <w:name w:val="Default Paragraph Font"/>
    <w:link w:val="6"/>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6">
    <w:name w:val="正文1 Char Char Char"/>
    <w:basedOn w:val="1"/>
    <w:link w:val="5"/>
    <w:qFormat/>
    <w:uiPriority w:val="0"/>
    <w:pPr>
      <w:spacing w:line="360" w:lineRule="auto"/>
      <w:ind w:firstLine="200" w:firstLineChars="200"/>
    </w:pPr>
  </w:style>
  <w:style w:type="character" w:styleId="7">
    <w:name w:val="page number"/>
    <w:basedOn w:val="5"/>
    <w:qFormat/>
    <w:uiPriority w:val="0"/>
  </w:style>
  <w:style w:type="paragraph" w:customStyle="1" w:styleId="9">
    <w:name w:val="WPSOffice手动目录 1"/>
    <w:qFormat/>
    <w:uiPriority w:val="0"/>
    <w:pPr>
      <w:ind w:leftChars="0"/>
    </w:pPr>
    <w:rPr>
      <w:rFonts w:asciiTheme="minorHAnsi" w:hAnsiTheme="minorHAnsi" w:eastAsiaTheme="minorEastAsia" w:cstheme="minorBidi"/>
      <w:sz w:val="20"/>
      <w:szCs w:val="20"/>
    </w:rPr>
  </w:style>
  <w:style w:type="paragraph" w:customStyle="1" w:styleId="1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2019-10-23T09:14:00Z</dcterms:created>
  <dc:creator>管理员</dc:creator>
  <cp:lastModifiedBy>Administrator</cp:lastModifiedBy>
  <cp:lastPrinted>2023-09-20T03:17:00Z</cp:lastPrinted>
  <dcterms:modified xsi:type="dcterms:W3CDTF">2023-09-25T01:48:33Z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