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Times New Roman"/>
          <w:sz w:val="30"/>
          <w:szCs w:val="30"/>
          <w:lang w:eastAsia="zh-CN"/>
        </w:rPr>
      </w:pPr>
      <w:r>
        <w:rPr>
          <w:rFonts w:ascii="宋体" w:hAnsi="宋体" w:eastAsia="宋体" w:cs="Times New Roman"/>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Times New Roman"/>
          <w:sz w:val="30"/>
          <w:szCs w:val="30"/>
          <w:lang w:eastAsia="zh-CN"/>
        </w:rPr>
        <w:instrText xml:space="preserve">ADDIN CNKISM.UserStyle</w:instrText>
      </w:r>
      <w:r>
        <w:rPr>
          <w:rFonts w:ascii="宋体" w:hAnsi="宋体" w:eastAsia="宋体" w:cs="Times New Roman"/>
          <w:sz w:val="30"/>
          <w:szCs w:val="30"/>
        </w:rPr>
        <w:fldChar w:fldCharType="separate"/>
      </w:r>
      <w:r>
        <w:rPr>
          <w:rFonts w:ascii="宋体" w:hAnsi="宋体" w:eastAsia="宋体" w:cs="Times New Roman"/>
          <w:sz w:val="30"/>
          <w:szCs w:val="30"/>
        </w:rPr>
        <w:fldChar w:fldCharType="end"/>
      </w:r>
    </w:p>
    <w:p>
      <w:pPr>
        <w:jc w:val="center"/>
        <w:rPr>
          <w:rFonts w:ascii="黑体" w:hAnsi="ˎ̥" w:eastAsia="黑体" w:cs="Times New Roman"/>
          <w:sz w:val="44"/>
          <w:szCs w:val="44"/>
        </w:rPr>
      </w:pPr>
      <w:r>
        <w:rPr>
          <w:rFonts w:hint="eastAsia" w:ascii="黑体" w:hAnsi="ˎ̥" w:eastAsia="黑体" w:cs="Times New Roman"/>
          <w:sz w:val="44"/>
          <w:szCs w:val="44"/>
        </w:rPr>
        <w:t>三亚市天涯区</w:t>
      </w:r>
      <w:r>
        <w:rPr>
          <w:rFonts w:hint="eastAsia" w:ascii="黑体" w:hAnsi="ˎ̥" w:eastAsia="黑体" w:cs="Times New Roman"/>
          <w:sz w:val="44"/>
          <w:szCs w:val="44"/>
          <w:lang w:val="en-US" w:eastAsia="zh-CN"/>
        </w:rPr>
        <w:t>第五幼儿园</w:t>
      </w:r>
      <w:r>
        <w:rPr>
          <w:rFonts w:hint="eastAsia" w:ascii="黑体" w:hAnsi="ˎ̥" w:eastAsia="黑体" w:cs="Times New Roman"/>
          <w:sz w:val="44"/>
          <w:szCs w:val="44"/>
        </w:rPr>
        <w:t>202</w:t>
      </w:r>
      <w:r>
        <w:rPr>
          <w:rFonts w:hint="eastAsia" w:ascii="黑体" w:hAnsi="ˎ̥" w:eastAsia="黑体" w:cs="Times New Roman"/>
          <w:sz w:val="44"/>
          <w:szCs w:val="44"/>
          <w:lang w:val="en-US" w:eastAsia="zh-CN"/>
        </w:rPr>
        <w:t>2</w:t>
      </w:r>
      <w:r>
        <w:rPr>
          <w:rFonts w:hint="eastAsia" w:ascii="黑体" w:hAnsi="ˎ̥" w:eastAsia="黑体" w:cs="Times New Roman"/>
          <w:sz w:val="44"/>
          <w:szCs w:val="44"/>
        </w:rPr>
        <w:t>年度</w:t>
      </w:r>
    </w:p>
    <w:p>
      <w:pPr>
        <w:jc w:val="center"/>
        <w:rPr>
          <w:rFonts w:ascii="黑体" w:hAnsi="ˎ̥" w:eastAsia="黑体" w:cs="Times New Roman"/>
          <w:sz w:val="44"/>
          <w:szCs w:val="44"/>
        </w:rPr>
      </w:pPr>
      <w:r>
        <w:rPr>
          <w:rFonts w:hint="eastAsia" w:ascii="黑体" w:hAnsi="ˎ̥" w:eastAsia="黑体" w:cs="Times New Roman"/>
          <w:sz w:val="44"/>
          <w:szCs w:val="44"/>
          <w:lang w:val="en-US" w:eastAsia="zh-CN"/>
        </w:rPr>
        <w:t>部门</w:t>
      </w:r>
      <w:r>
        <w:rPr>
          <w:rFonts w:hint="eastAsia" w:ascii="黑体" w:hAnsi="ˎ̥" w:eastAsia="黑体" w:cs="Times New Roman"/>
          <w:sz w:val="44"/>
          <w:szCs w:val="44"/>
        </w:rPr>
        <w:t>决算公开文字说明</w:t>
      </w:r>
    </w:p>
    <w:p>
      <w:pPr>
        <w:jc w:val="center"/>
        <w:rPr>
          <w:rFonts w:ascii="黑体" w:hAnsi="ˎ̥" w:eastAsia="黑体" w:cs="Times New Roman"/>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 xml:space="preserve">目  录 </w:t>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"_Toc1704_WPSOffice_Level1" </w:instrText>
      </w:r>
      <w:r>
        <w:fldChar w:fldCharType="separate"/>
      </w:r>
      <w:r>
        <w:rPr>
          <w:rFonts w:hint="eastAsia" w:ascii="黑体" w:hAnsi="ˎ̥" w:eastAsia="黑体" w:cs="Times New Roman"/>
          <w:kern w:val="0"/>
          <w:sz w:val="32"/>
          <w:szCs w:val="32"/>
        </w:rPr>
        <w:t>第一部分  三亚市天涯区</w:t>
      </w:r>
      <w:r>
        <w:rPr>
          <w:rFonts w:hint="eastAsia" w:ascii="黑体" w:hAnsi="ˎ̥" w:eastAsia="黑体" w:cs="Times New Roman"/>
          <w:kern w:val="0"/>
          <w:sz w:val="32"/>
          <w:szCs w:val="32"/>
          <w:lang w:val="en-US" w:eastAsia="zh-CN"/>
        </w:rPr>
        <w:t>第五幼儿园</w:t>
      </w:r>
      <w:r>
        <w:rPr>
          <w:rFonts w:hint="eastAsia" w:ascii="黑体" w:hAnsi="ˎ̥" w:eastAsia="黑体" w:cs="Times New Roman"/>
          <w:kern w:val="0"/>
          <w:sz w:val="32"/>
          <w:szCs w:val="32"/>
        </w:rPr>
        <w:t>概况</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3</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hint="eastAsia" w:ascii="仿宋" w:hAnsi="仿宋" w:eastAsia="仿宋" w:cs="仿宋"/>
          <w:kern w:val="0"/>
          <w:sz w:val="32"/>
          <w:szCs w:val="32"/>
        </w:rPr>
        <w:tab/>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hint="eastAsia" w:ascii="仿宋" w:hAnsi="仿宋" w:eastAsia="仿宋" w:cs="仿宋"/>
          <w:kern w:val="0"/>
          <w:sz w:val="32"/>
          <w:szCs w:val="32"/>
        </w:rPr>
        <w:tab/>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"_Toc28253_WPSOffice_Level1" </w:instrText>
      </w:r>
      <w:r>
        <w:fldChar w:fldCharType="separate"/>
      </w:r>
      <w:r>
        <w:rPr>
          <w:rFonts w:hint="eastAsia" w:ascii="黑体" w:hAnsi="ˎ̥" w:eastAsia="黑体" w:cs="Times New Roman"/>
          <w:kern w:val="0"/>
          <w:sz w:val="32"/>
          <w:szCs w:val="32"/>
          <w:lang w:eastAsia="zh-CN"/>
        </w:rPr>
        <w:t>第</w:t>
      </w:r>
      <w:r>
        <w:rPr>
          <w:rFonts w:hint="eastAsia" w:ascii="黑体" w:hAnsi="ˎ̥" w:eastAsia="黑体" w:cs="Times New Roman"/>
          <w:kern w:val="0"/>
          <w:sz w:val="32"/>
          <w:szCs w:val="32"/>
          <w:lang w:val="en-US" w:eastAsia="zh-CN"/>
        </w:rPr>
        <w:t>二</w:t>
      </w:r>
      <w:r>
        <w:rPr>
          <w:rFonts w:hint="eastAsia" w:ascii="黑体" w:hAnsi="ˎ̥" w:eastAsia="黑体" w:cs="Times New Roman"/>
          <w:kern w:val="0"/>
          <w:sz w:val="32"/>
          <w:szCs w:val="32"/>
        </w:rPr>
        <w:t>部分  三亚市天涯区</w:t>
      </w:r>
      <w:r>
        <w:rPr>
          <w:rFonts w:hint="eastAsia" w:ascii="黑体" w:hAnsi="ˎ̥" w:eastAsia="黑体" w:cs="Times New Roman"/>
          <w:kern w:val="0"/>
          <w:sz w:val="32"/>
          <w:szCs w:val="32"/>
          <w:lang w:val="en-US" w:eastAsia="zh-CN"/>
        </w:rPr>
        <w:t>第五幼儿园</w:t>
      </w:r>
      <w:r>
        <w:rPr>
          <w:rFonts w:hint="eastAsia" w:ascii="黑体" w:hAnsi="ˎ̥" w:eastAsia="黑体" w:cs="Times New Roman"/>
          <w:kern w:val="0"/>
          <w:sz w:val="32"/>
          <w:szCs w:val="32"/>
          <w:lang w:eastAsia="zh-CN"/>
        </w:rPr>
        <w:t>202</w:t>
      </w:r>
      <w:r>
        <w:rPr>
          <w:rFonts w:hint="eastAsia" w:ascii="黑体" w:hAnsi="ˎ̥" w:eastAsia="黑体" w:cs="Times New Roman"/>
          <w:kern w:val="0"/>
          <w:sz w:val="32"/>
          <w:szCs w:val="32"/>
          <w:lang w:val="en-US" w:eastAsia="zh-CN"/>
        </w:rPr>
        <w:t>2</w:t>
      </w:r>
      <w:r>
        <w:rPr>
          <w:rFonts w:hint="eastAsia" w:ascii="黑体" w:hAnsi="ˎ̥" w:eastAsia="黑体" w:cs="Times New Roman"/>
          <w:kern w:val="0"/>
          <w:sz w:val="32"/>
          <w:szCs w:val="32"/>
        </w:rPr>
        <w:t>年度</w:t>
      </w:r>
      <w:r>
        <w:rPr>
          <w:rFonts w:hint="eastAsia" w:ascii="黑体" w:hAnsi="ˎ̥" w:eastAsia="黑体" w:cs="Times New Roman"/>
          <w:kern w:val="0"/>
          <w:sz w:val="32"/>
          <w:szCs w:val="32"/>
          <w:lang w:val="en-US" w:eastAsia="zh-CN"/>
        </w:rPr>
        <w:t>部门</w:t>
      </w:r>
      <w:r>
        <w:rPr>
          <w:rFonts w:hint="eastAsia" w:ascii="黑体" w:hAnsi="ˎ̥" w:eastAsia="黑体" w:cs="Times New Roman"/>
          <w:kern w:val="0"/>
          <w:sz w:val="32"/>
          <w:szCs w:val="32"/>
        </w:rPr>
        <w:t>决算公开表</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3</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Times New Roman" w:hAnsi="Times New Roman" w:eastAsia="宋体" w:cs="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Times New Roman" w:hAnsi="Times New Roman" w:eastAsia="宋体" w:cs="Times New Roman"/>
          <w:kern w:val="0"/>
          <w:sz w:val="32"/>
          <w:szCs w:val="32"/>
        </w:rPr>
        <w:t xml:space="preserve">  </w:t>
      </w:r>
      <w:r>
        <w:rPr>
          <w:rFonts w:hint="eastAsia" w:ascii="黑体" w:hAnsi="黑体" w:eastAsia="黑体" w:cs="Times New Roman"/>
          <w:kern w:val="0"/>
          <w:sz w:val="32"/>
          <w:szCs w:val="32"/>
        </w:rPr>
        <w:t>三亚市天涯区</w:t>
      </w:r>
      <w:r>
        <w:rPr>
          <w:rFonts w:hint="eastAsia" w:ascii="黑体" w:hAnsi="ˎ̥" w:eastAsia="黑体" w:cs="Times New Roman"/>
          <w:kern w:val="0"/>
          <w:sz w:val="32"/>
          <w:szCs w:val="32"/>
          <w:lang w:val="en-US" w:eastAsia="zh-CN"/>
        </w:rPr>
        <w:t>第五幼儿园</w:t>
      </w:r>
      <w:r>
        <w:rPr>
          <w:rFonts w:hint="eastAsia" w:ascii="黑体" w:hAnsi="ˎ̥" w:eastAsia="黑体" w:cs="Times New Roman"/>
          <w:kern w:val="0"/>
          <w:sz w:val="32"/>
          <w:szCs w:val="32"/>
          <w:lang w:eastAsia="zh-CN"/>
        </w:rPr>
        <w:t>202</w:t>
      </w:r>
      <w:r>
        <w:rPr>
          <w:rFonts w:hint="eastAsia" w:ascii="黑体" w:hAnsi="ˎ̥" w:eastAsia="黑体" w:cs="Times New Roman"/>
          <w:kern w:val="0"/>
          <w:sz w:val="32"/>
          <w:szCs w:val="32"/>
          <w:lang w:val="en-US" w:eastAsia="zh-CN"/>
        </w:rPr>
        <w:t>2</w:t>
      </w:r>
      <w:r>
        <w:rPr>
          <w:rFonts w:hint="eastAsia" w:ascii="黑体" w:hAnsi="ˎ̥" w:eastAsia="黑体" w:cs="Times New Roman"/>
          <w:kern w:val="0"/>
          <w:sz w:val="32"/>
          <w:szCs w:val="32"/>
        </w:rPr>
        <w:t>年度</w:t>
      </w:r>
      <w:r>
        <w:rPr>
          <w:rFonts w:hint="eastAsia" w:ascii="黑体" w:hAnsi="ˎ̥" w:eastAsia="黑体" w:cs="Times New Roman"/>
          <w:kern w:val="0"/>
          <w:sz w:val="32"/>
          <w:szCs w:val="32"/>
          <w:lang w:val="en-US" w:eastAsia="zh-CN"/>
        </w:rPr>
        <w:t>部门</w:t>
      </w:r>
      <w:r>
        <w:rPr>
          <w:rFonts w:hint="eastAsia" w:ascii="黑体" w:hAnsi="ˎ̥" w:eastAsia="黑体" w:cs="Times New Roman"/>
          <w:kern w:val="0"/>
          <w:sz w:val="32"/>
          <w:szCs w:val="32"/>
        </w:rPr>
        <w:t>决算情况说明</w:t>
      </w:r>
      <w:r>
        <w:rPr>
          <w:rFonts w:ascii="Times New Roman" w:hAnsi="Times New Roman" w:eastAsia="宋体" w:cs="Times New Roman"/>
          <w:kern w:val="0"/>
          <w:sz w:val="32"/>
          <w:szCs w:val="32"/>
        </w:rPr>
        <w:tab/>
      </w:r>
      <w:r>
        <w:rPr>
          <w:rFonts w:hint="eastAsia" w:ascii="Times New Roman" w:hAnsi="Times New Roman" w:eastAsia="宋体" w:cs="Times New Roman"/>
          <w:kern w:val="0"/>
          <w:sz w:val="32"/>
          <w:szCs w:val="32"/>
        </w:rPr>
        <w:t>4</w:t>
      </w:r>
      <w:r>
        <w:rPr>
          <w:rFonts w:hint="eastAsia" w:ascii="Times New Roman" w:hAnsi="Times New Roman" w:eastAsia="宋体" w:cs="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hint="eastAsia" w:ascii="仿宋" w:hAnsi="仿宋" w:eastAsia="仿宋" w:cs="仿宋"/>
          <w:kern w:val="0"/>
          <w:sz w:val="32"/>
          <w:szCs w:val="32"/>
        </w:rPr>
        <w:tab/>
      </w:r>
      <w:r>
        <w:rPr>
          <w:rFonts w:hint="eastAsia" w:ascii="仿宋" w:hAnsi="仿宋" w:eastAsia="仿宋" w:cs="仿宋"/>
          <w:kern w:val="0"/>
          <w:sz w:val="32"/>
          <w:szCs w:val="32"/>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rPr>
        <w:t>5</w:t>
      </w:r>
      <w:r>
        <w:rPr>
          <w:rFonts w:hint="eastAsia"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6</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hint="eastAsia" w:ascii="仿宋" w:hAnsi="仿宋" w:eastAsia="仿宋" w:cs="仿宋"/>
          <w:kern w:val="0"/>
          <w:sz w:val="32"/>
          <w:szCs w:val="32"/>
        </w:rPr>
        <w:tab/>
      </w:r>
      <w:r>
        <w:rPr>
          <w:rFonts w:hint="eastAsia" w:ascii="仿宋" w:hAnsi="仿宋" w:eastAsia="仿宋" w:cs="仿宋"/>
          <w:kern w:val="0"/>
          <w:sz w:val="32"/>
          <w:szCs w:val="32"/>
          <w:lang w:val="en-US" w:eastAsia="zh-CN"/>
        </w:rPr>
        <w:t>7</w:t>
      </w:r>
    </w:p>
    <w:p>
      <w:pPr>
        <w:rPr>
          <w:rFonts w:ascii="仿宋" w:hAnsi="仿宋" w:eastAsia="仿宋" w:cs="仿宋"/>
          <w:w w:val="98"/>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8</w:t>
      </w:r>
    </w:p>
    <w:p>
      <w:pPr>
        <w:widowControl/>
        <w:tabs>
          <w:tab w:val="right" w:leader="dot" w:pos="8306"/>
        </w:tabs>
        <w:jc w:val="left"/>
        <w:rPr>
          <w:rFonts w:hint="eastAsia" w:ascii="仿宋" w:hAnsi="仿宋" w:eastAsia="仿宋" w:cs="仿宋"/>
          <w:kern w:val="0"/>
          <w:sz w:val="32"/>
          <w:szCs w:val="32"/>
          <w:highlight w:val="none"/>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十、预算绩效情况说明</w:t>
      </w:r>
      <w:r>
        <w:rPr>
          <w:rFonts w:hint="eastAsia" w:ascii="仿宋" w:hAnsi="仿宋" w:eastAsia="仿宋" w:cs="仿宋"/>
          <w:kern w:val="0"/>
          <w:sz w:val="32"/>
          <w:szCs w:val="32"/>
        </w:rPr>
        <w:tab/>
      </w:r>
      <w:r>
        <w:rPr>
          <w:rFonts w:hint="eastAsia" w:ascii="仿宋" w:hAnsi="仿宋" w:eastAsia="仿宋" w:cs="仿宋"/>
          <w:kern w:val="0"/>
          <w:sz w:val="32"/>
          <w:szCs w:val="32"/>
        </w:rPr>
        <w:fldChar w:fldCharType="end"/>
      </w:r>
      <w:r>
        <w:rPr>
          <w:rFonts w:hint="eastAsia" w:ascii="仿宋" w:hAnsi="仿宋" w:eastAsia="仿宋" w:cs="仿宋"/>
          <w:kern w:val="0"/>
          <w:sz w:val="32"/>
          <w:szCs w:val="32"/>
          <w:highlight w:val="none"/>
          <w:lang w:val="en-US" w:eastAsia="zh-CN"/>
        </w:rPr>
        <w:t>9</w:t>
      </w:r>
    </w:p>
    <w:p>
      <w:pPr>
        <w:widowControl/>
        <w:numPr>
          <w:ilvl w:val="0"/>
          <w:numId w:val="2"/>
        </w:numPr>
        <w:tabs>
          <w:tab w:val="right" w:leader="dot" w:pos="8306"/>
        </w:tabs>
        <w:jc w:val="left"/>
        <w:rPr>
          <w:rFonts w:hint="default" w:ascii="仿宋" w:hAnsi="仿宋" w:eastAsia="仿宋" w:cs="仿宋"/>
          <w:kern w:val="0"/>
          <w:sz w:val="32"/>
          <w:szCs w:val="32"/>
          <w:highlight w:val="none"/>
          <w:lang w:val="en-US" w:eastAsia="zh-CN"/>
        </w:rPr>
      </w:pPr>
      <w:r>
        <w:rPr>
          <w:rFonts w:hint="eastAsia" w:ascii="仿宋" w:hAnsi="仿宋" w:eastAsia="仿宋" w:cs="仿宋"/>
          <w:bCs/>
          <w:kern w:val="0"/>
          <w:sz w:val="32"/>
          <w:szCs w:val="32"/>
          <w:highlight w:val="none"/>
        </w:rPr>
        <w:t>其他重要事项情况说明</w:t>
      </w:r>
      <w:r>
        <w:rPr>
          <w:rFonts w:hint="eastAsia" w:ascii="仿宋" w:hAnsi="仿宋" w:eastAsia="仿宋" w:cs="仿宋"/>
          <w:kern w:val="0"/>
          <w:sz w:val="32"/>
          <w:szCs w:val="32"/>
          <w:highlight w:val="none"/>
        </w:rPr>
        <w:tab/>
      </w:r>
      <w:bookmarkEnd w:id="0"/>
      <w:r>
        <w:rPr>
          <w:rFonts w:hint="eastAsia" w:ascii="仿宋" w:hAnsi="仿宋" w:eastAsia="仿宋" w:cs="仿宋"/>
          <w:kern w:val="0"/>
          <w:sz w:val="32"/>
          <w:szCs w:val="32"/>
          <w:highlight w:val="none"/>
          <w:lang w:val="en-US" w:eastAsia="zh-CN"/>
        </w:rPr>
        <w:t>9</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r>
        <w:rPr>
          <w:rFonts w:hint="eastAsia" w:ascii="Times New Roman" w:hAnsi="Times New Roman"/>
          <w:kern w:val="0"/>
          <w:sz w:val="32"/>
          <w:szCs w:val="32"/>
          <w:lang w:val="en-US" w:eastAsia="zh-CN"/>
        </w:rPr>
        <w:t>1</w:t>
      </w:r>
    </w:p>
    <w:p>
      <w:pPr>
        <w:pStyle w:val="11"/>
        <w:keepNext w:val="0"/>
        <w:keepLines w:val="0"/>
        <w:widowControl/>
        <w:suppressLineNumbers w:val="0"/>
        <w:autoSpaceDE w:val="0"/>
        <w:autoSpaceDN/>
        <w:spacing w:before="0" w:beforeAutospacing="0" w:after="0" w:afterAutospacing="0"/>
        <w:ind w:left="0" w:right="0"/>
        <w:jc w:val="left"/>
        <w:rPr>
          <w:rFonts w:hint="eastAsia" w:ascii="黑体" w:hAnsi="ˎ̥" w:eastAsia="黑体" w:cs="黑体"/>
          <w:kern w:val="0"/>
          <w:sz w:val="32"/>
          <w:szCs w:val="32"/>
          <w:shd w:val="clear" w:color="auto" w:fill="FFFFFF"/>
        </w:rPr>
      </w:pPr>
      <w:r>
        <w:rPr>
          <w:rFonts w:hint="eastAsia" w:ascii="黑体" w:hAnsi="ˎ̥" w:eastAsia="黑体" w:cs="黑体"/>
          <w:kern w:val="0"/>
          <w:sz w:val="32"/>
          <w:szCs w:val="32"/>
          <w:shd w:val="clear" w:color="auto" w:fill="FFFFFF"/>
        </w:rPr>
        <w:t xml:space="preserve"> </w:t>
      </w:r>
      <w:bookmarkStart w:id="117" w:name="_GoBack"/>
      <w:bookmarkEnd w:id="117"/>
    </w:p>
    <w:p>
      <w:pPr>
        <w:jc w:val="left"/>
        <w:rPr>
          <w:rFonts w:ascii="黑体" w:hAnsi="黑体" w:eastAsia="黑体" w:cs="黑体"/>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黑体" w:hAnsi="ˎ̥" w:eastAsia="黑体" w:cs="Times New Roman"/>
          <w:b/>
          <w:sz w:val="32"/>
          <w:szCs w:val="32"/>
        </w:rPr>
      </w:pPr>
    </w:p>
    <w:p>
      <w:pPr>
        <w:jc w:val="center"/>
        <w:rPr>
          <w:rFonts w:ascii="楷体" w:hAnsi="楷体" w:eastAsia="楷体" w:cs="楷体"/>
          <w:sz w:val="32"/>
          <w:szCs w:val="32"/>
        </w:rPr>
      </w:pPr>
      <w:bookmarkStart w:id="2" w:name="_Toc10049_WPSOffice_Level1"/>
      <w:bookmarkStart w:id="3" w:name="_Toc23465_WPSOffice_Level1"/>
      <w:bookmarkStart w:id="4" w:name="_Toc32433_WPSOffice_Level1"/>
      <w:bookmarkStart w:id="5" w:name="_Toc1704_WPSOffice_Level1"/>
      <w:bookmarkStart w:id="6" w:name="_Toc22941_WPSOffice_Level1"/>
      <w:bookmarkStart w:id="7" w:name="_Toc10720_WPSOffice_Level1"/>
      <w:bookmarkStart w:id="8" w:name="_Toc24238_WPSOffice_Level2"/>
      <w:bookmarkStart w:id="9" w:name="_Toc26580_WPSOffice_Level2"/>
      <w:bookmarkStart w:id="10" w:name="_Toc32622_WPSOffice_Level2"/>
      <w:bookmarkStart w:id="11" w:name="_Toc14159_WPSOffice_Level2"/>
      <w:bookmarkStart w:id="12" w:name="_Toc20274_WPSOffice_Level2"/>
      <w:bookmarkStart w:id="13" w:name="_Toc20205_WPSOffice_Level2"/>
      <w:r>
        <w:rPr>
          <w:rFonts w:hint="eastAsia" w:ascii="黑体" w:hAnsi="ˎ̥" w:eastAsia="黑体" w:cs="Times New Roman"/>
          <w:sz w:val="32"/>
          <w:szCs w:val="32"/>
        </w:rPr>
        <w:t>第一部分  三亚市天涯区</w:t>
      </w:r>
      <w:r>
        <w:rPr>
          <w:rFonts w:hint="eastAsia" w:ascii="黑体" w:hAnsi="ˎ̥" w:eastAsia="黑体" w:cs="Times New Roman"/>
          <w:sz w:val="32"/>
          <w:szCs w:val="32"/>
          <w:lang w:val="en-US" w:eastAsia="zh-CN"/>
        </w:rPr>
        <w:t>第五幼儿园</w:t>
      </w:r>
      <w:r>
        <w:rPr>
          <w:rFonts w:hint="eastAsia" w:ascii="黑体" w:hAnsi="ˎ̥" w:eastAsia="黑体" w:cs="Times New Roman"/>
          <w:sz w:val="32"/>
          <w:szCs w:val="32"/>
          <w:lang w:eastAsia="zh-CN"/>
        </w:rPr>
        <w:t>单位</w:t>
      </w:r>
      <w:r>
        <w:rPr>
          <w:rFonts w:hint="eastAsia" w:ascii="黑体" w:hAnsi="ˎ̥" w:eastAsia="黑体" w:cs="Times New Roman"/>
          <w:sz w:val="32"/>
          <w:szCs w:val="32"/>
        </w:rPr>
        <w:t>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lang w:val="en-US" w:eastAsia="zh-CN"/>
        </w:rPr>
        <w:t>单位</w:t>
      </w:r>
      <w:r>
        <w:rPr>
          <w:rFonts w:hint="eastAsia" w:ascii="黑体" w:hAnsi="黑体" w:eastAsia="黑体" w:cs="黑体"/>
          <w:sz w:val="32"/>
          <w:szCs w:val="32"/>
        </w:rPr>
        <w:t>职责</w:t>
      </w:r>
      <w:bookmarkEnd w:id="9"/>
      <w:bookmarkEnd w:id="10"/>
      <w:bookmarkEnd w:id="11"/>
      <w:bookmarkEnd w:id="12"/>
      <w:bookmarkEnd w:id="13"/>
    </w:p>
    <w:p>
      <w:pPr>
        <w:pStyle w:val="10"/>
        <w:ind w:firstLineChars="0"/>
        <w:jc w:val="left"/>
        <w:rPr>
          <w:rFonts w:ascii="黑体" w:hAnsi="黑体" w:eastAsia="黑体" w:cs="仿宋_GB2312"/>
          <w:sz w:val="32"/>
          <w:szCs w:val="32"/>
        </w:rPr>
      </w:pPr>
      <w:bookmarkStart w:id="14" w:name="_Toc24474_WPSOffice_Level2"/>
      <w:bookmarkStart w:id="15" w:name="_Toc17796_WPSOffice_Level2"/>
      <w:bookmarkStart w:id="16" w:name="_Toc4833_WPSOffice_Level2"/>
      <w:bookmarkStart w:id="17" w:name="_Toc24059_WPSOffice_Level2"/>
      <w:bookmarkStart w:id="18" w:name="_Toc6572_WPSOffice_Level2"/>
      <w:r>
        <w:rPr>
          <w:rFonts w:hint="eastAsia" w:ascii="仿宋_GB2312" w:eastAsia="仿宋_GB2312"/>
          <w:color w:val="000000"/>
          <w:sz w:val="32"/>
          <w:szCs w:val="32"/>
          <w:shd w:val="clear" w:color="auto" w:fill="FFFFFF"/>
          <w:lang w:val="en-US" w:eastAsia="zh-CN"/>
        </w:rPr>
        <w:t>三亚市天涯区第五幼儿园主要职能为幼儿教育</w:t>
      </w:r>
      <w:r>
        <w:rPr>
          <w:rFonts w:hint="eastAsia" w:ascii="仿宋_GB2312" w:eastAsia="仿宋_GB2312"/>
          <w:color w:val="000000"/>
          <w:sz w:val="32"/>
          <w:szCs w:val="32"/>
          <w:shd w:val="clear" w:color="auto" w:fill="FFFFFF"/>
        </w:rPr>
        <w:t>。</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ˎ̥" w:eastAsia="仿宋_GB2312" w:cs="Times New Roman"/>
          <w:sz w:val="32"/>
          <w:szCs w:val="32"/>
        </w:rPr>
      </w:pPr>
      <w:bookmarkStart w:id="19" w:name="_Toc30690_WPSOffice_Level1"/>
      <w:bookmarkStart w:id="20" w:name="_Toc30451_WPSOffice_Level1"/>
      <w:bookmarkStart w:id="21" w:name="_Toc6234_WPSOffice_Level1"/>
      <w:bookmarkStart w:id="22" w:name="_Toc8164_WPSOffice_Level1"/>
      <w:bookmarkStart w:id="23" w:name="_Toc15521_WPSOffice_Level1"/>
      <w:bookmarkStart w:id="24" w:name="_Toc28253_WPSOffice_Level1"/>
      <w:bookmarkStart w:id="25" w:name="_Toc32695_WPSOffice_Level2"/>
      <w:bookmarkStart w:id="26" w:name="_Toc8867_WPSOffice_Level2"/>
      <w:bookmarkStart w:id="27" w:name="_Toc6211_WPSOffice_Level2"/>
      <w:bookmarkStart w:id="28" w:name="_Toc4029_WPSOffice_Level2"/>
      <w:bookmarkStart w:id="29" w:name="_Toc32472_WPSOffice_Level2"/>
      <w:bookmarkStart w:id="30" w:name="_Toc11518_WPSOffice_Level2"/>
      <w:r>
        <w:rPr>
          <w:rFonts w:hint="eastAsia" w:ascii="仿宋_GB2312" w:hAnsi="ˎ̥" w:eastAsia="仿宋_GB2312" w:cs="Times New Roman"/>
          <w:sz w:val="32"/>
          <w:szCs w:val="32"/>
        </w:rPr>
        <w:t>单位内设机构即包括：</w:t>
      </w:r>
    </w:p>
    <w:p>
      <w:pPr>
        <w:ind w:firstLine="640" w:firstLineChars="200"/>
        <w:rPr>
          <w:rFonts w:hint="default" w:ascii="楷体" w:hAnsi="楷体" w:eastAsia="楷体" w:cs="楷体"/>
          <w:sz w:val="32"/>
          <w:szCs w:val="32"/>
          <w:lang w:val="en-US" w:eastAsia="zh-CN"/>
        </w:rPr>
      </w:pPr>
      <w:bookmarkStart w:id="31" w:name="_Toc25738_WPSOffice_Level2"/>
      <w:bookmarkStart w:id="32" w:name="_Toc24421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lang w:val="en-US" w:eastAsia="zh-CN"/>
        </w:rPr>
        <w:t>园长办公室</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（二）</w:t>
      </w:r>
      <w:r>
        <w:rPr>
          <w:rFonts w:hint="eastAsia" w:ascii="楷体" w:hAnsi="楷体" w:eastAsia="楷体" w:cs="楷体"/>
          <w:sz w:val="32"/>
          <w:szCs w:val="32"/>
          <w:lang w:val="en-US" w:eastAsia="zh-CN"/>
        </w:rPr>
        <w:t>保健室</w:t>
      </w:r>
    </w:p>
    <w:p>
      <w:pPr>
        <w:ind w:firstLine="640" w:firstLineChars="200"/>
        <w:rPr>
          <w:rFonts w:hint="eastAsia" w:ascii="楷体" w:hAnsi="楷体" w:eastAsia="楷体" w:cs="楷体"/>
          <w:sz w:val="32"/>
          <w:szCs w:val="32"/>
          <w:lang w:val="en-US" w:eastAsia="zh-CN"/>
        </w:rPr>
      </w:pPr>
      <w:bookmarkStart w:id="33" w:name="_Toc4442_WPSOffice_Level2"/>
      <w:bookmarkStart w:id="34" w:name="_Toc19721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lang w:val="en-US" w:eastAsia="zh-CN"/>
        </w:rPr>
        <w:t>办公室</w:t>
      </w:r>
    </w:p>
    <w:p>
      <w:pPr>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rPr>
        <w:t>（四）</w:t>
      </w:r>
      <w:r>
        <w:rPr>
          <w:rFonts w:hint="eastAsia" w:ascii="楷体" w:hAnsi="楷体" w:eastAsia="楷体" w:cs="楷体"/>
          <w:sz w:val="32"/>
          <w:szCs w:val="32"/>
          <w:lang w:val="en-US" w:eastAsia="zh-CN"/>
        </w:rPr>
        <w:t>财务室</w:t>
      </w:r>
    </w:p>
    <w:p>
      <w:pPr>
        <w:jc w:val="center"/>
        <w:rPr>
          <w:rFonts w:ascii="黑体" w:hAnsi="ˎ̥" w:eastAsia="黑体" w:cs="Times New Roman"/>
          <w:sz w:val="32"/>
          <w:szCs w:val="32"/>
        </w:rPr>
      </w:pPr>
      <w:r>
        <w:rPr>
          <w:rFonts w:hint="eastAsia" w:ascii="黑体" w:hAnsi="ˎ̥" w:eastAsia="黑体" w:cs="Times New Roman"/>
          <w:sz w:val="32"/>
          <w:szCs w:val="32"/>
          <w:lang w:eastAsia="zh-CN"/>
        </w:rPr>
        <w:t>第</w:t>
      </w:r>
      <w:r>
        <w:rPr>
          <w:rFonts w:hint="eastAsia" w:ascii="黑体" w:hAnsi="ˎ̥" w:eastAsia="黑体" w:cs="Times New Roman"/>
          <w:sz w:val="32"/>
          <w:szCs w:val="32"/>
          <w:lang w:val="en-US" w:eastAsia="zh-CN"/>
        </w:rPr>
        <w:t>二</w:t>
      </w:r>
      <w:r>
        <w:rPr>
          <w:rFonts w:hint="eastAsia" w:ascii="黑体" w:hAnsi="ˎ̥" w:eastAsia="黑体" w:cs="Times New Roman"/>
          <w:sz w:val="32"/>
          <w:szCs w:val="32"/>
        </w:rPr>
        <w:t>部分  三亚市天涯区</w:t>
      </w:r>
      <w:r>
        <w:rPr>
          <w:rFonts w:hint="eastAsia" w:ascii="黑体" w:hAnsi="ˎ̥" w:eastAsia="黑体" w:cs="Times New Roman"/>
          <w:sz w:val="32"/>
          <w:szCs w:val="32"/>
          <w:lang w:val="en-US" w:eastAsia="zh-CN"/>
        </w:rPr>
        <w:t>第五幼儿园</w:t>
      </w:r>
      <w:r>
        <w:rPr>
          <w:rFonts w:hint="eastAsia" w:ascii="黑体" w:hAnsi="ˎ̥" w:eastAsia="黑体" w:cs="Times New Roman"/>
          <w:sz w:val="32"/>
          <w:szCs w:val="32"/>
          <w:lang w:eastAsia="zh-CN"/>
        </w:rPr>
        <w:t>202</w:t>
      </w:r>
      <w:r>
        <w:rPr>
          <w:rFonts w:hint="eastAsia" w:ascii="黑体" w:hAnsi="ˎ̥" w:eastAsia="黑体" w:cs="Times New Roman"/>
          <w:sz w:val="32"/>
          <w:szCs w:val="32"/>
          <w:lang w:val="en-US" w:eastAsia="zh-CN"/>
        </w:rPr>
        <w:t>2</w:t>
      </w:r>
      <w:r>
        <w:rPr>
          <w:rFonts w:hint="eastAsia" w:ascii="黑体" w:hAnsi="ˎ̥" w:eastAsia="黑体" w:cs="Times New Roman"/>
          <w:sz w:val="32"/>
          <w:szCs w:val="32"/>
        </w:rPr>
        <w:t>年度</w:t>
      </w:r>
      <w:r>
        <w:rPr>
          <w:rFonts w:hint="eastAsia" w:ascii="黑体" w:hAnsi="ˎ̥" w:eastAsia="黑体" w:cs="Times New Roman"/>
          <w:sz w:val="32"/>
          <w:szCs w:val="32"/>
          <w:lang w:val="en-US" w:eastAsia="zh-CN"/>
        </w:rPr>
        <w:t>部门</w:t>
      </w:r>
      <w:r>
        <w:rPr>
          <w:rFonts w:hint="eastAsia" w:ascii="黑体" w:hAnsi="ˎ̥" w:eastAsia="黑体" w:cs="Times New Roman"/>
          <w:sz w:val="32"/>
          <w:szCs w:val="32"/>
        </w:rPr>
        <w:t>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6621_WPSOffice_Level2"/>
      <w:bookmarkStart w:id="36" w:name="_Toc23139_WPSOffice_Level2"/>
      <w:bookmarkStart w:id="37" w:name="_Toc25608_WPSOffice_Level2"/>
      <w:bookmarkStart w:id="38" w:name="_Toc30334_WPSOffice_Level2"/>
      <w:bookmarkStart w:id="39" w:name="_Toc14349_WPSOffice_Level2"/>
      <w:bookmarkStart w:id="40" w:name="_Toc28622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17626_WPSOffice_Level2"/>
      <w:bookmarkStart w:id="42" w:name="_Toc3262_WPSOffice_Level2"/>
      <w:bookmarkStart w:id="43" w:name="_Toc17858_WPSOffice_Level2"/>
      <w:bookmarkStart w:id="44" w:name="_Toc13854_WPSOffice_Level2"/>
      <w:bookmarkStart w:id="45" w:name="_Toc14658_WPSOffice_Level2"/>
      <w:bookmarkStart w:id="46" w:name="_Toc5489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21415_WPSOffice_Level2"/>
      <w:bookmarkStart w:id="48" w:name="_Toc13701_WPSOffice_Level2"/>
      <w:bookmarkStart w:id="49" w:name="_Toc23591_WPSOffice_Level2"/>
      <w:bookmarkStart w:id="50" w:name="_Toc23493_WPSOffice_Level2"/>
      <w:bookmarkStart w:id="51" w:name="_Toc4265_WPSOffice_Level2"/>
      <w:bookmarkStart w:id="52" w:name="_Toc7988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7879_WPSOffice_Level2"/>
      <w:bookmarkStart w:id="54" w:name="_Toc22783_WPSOffice_Level2"/>
      <w:bookmarkStart w:id="55" w:name="_Toc23829_WPSOffice_Level2"/>
      <w:bookmarkStart w:id="56" w:name="_Toc25166_WPSOffice_Level2"/>
      <w:bookmarkStart w:id="57" w:name="_Toc2158_WPSOffice_Level2"/>
      <w:bookmarkStart w:id="58" w:name="_Toc13516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17833_WPSOffice_Level2"/>
      <w:bookmarkStart w:id="60" w:name="_Toc5343_WPSOffice_Level2"/>
      <w:bookmarkStart w:id="61" w:name="_Toc2632_WPSOffice_Level2"/>
      <w:bookmarkStart w:id="62" w:name="_Toc25362_WPSOffice_Level2"/>
      <w:bookmarkStart w:id="63" w:name="_Toc8373_WPSOffice_Level2"/>
      <w:bookmarkStart w:id="64" w:name="_Toc1728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公开表（见正文附件）。</w:t>
      </w:r>
    </w:p>
    <w:p>
      <w:pPr>
        <w:ind w:left="1118" w:leftChars="304" w:hanging="480" w:hangingChars="150"/>
        <w:rPr>
          <w:rFonts w:ascii="黑体" w:hAnsi="黑体" w:eastAsia="黑体" w:cs="黑体"/>
          <w:sz w:val="32"/>
          <w:szCs w:val="32"/>
        </w:rPr>
      </w:pPr>
      <w:bookmarkStart w:id="65" w:name="_Toc5594_WPSOffice_Level2"/>
      <w:bookmarkStart w:id="66" w:name="_Toc6020_WPSOffice_Level2"/>
      <w:bookmarkStart w:id="67" w:name="_Toc11799_WPSOffice_Level2"/>
      <w:bookmarkStart w:id="68" w:name="_Toc21310_WPSOffice_Level2"/>
      <w:bookmarkStart w:id="69" w:name="_Toc13345_WPSOffice_Level2"/>
      <w:bookmarkStart w:id="70" w:name="_Toc1533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71" w:name="_Toc1820_WPSOffice_Level2"/>
      <w:bookmarkStart w:id="72" w:name="_Toc9377_WPSOffice_Level2"/>
      <w:bookmarkStart w:id="73" w:name="_Toc19961_WPSOffice_Level2"/>
      <w:bookmarkStart w:id="74" w:name="_Toc29886_WPSOffice_Level2"/>
      <w:r>
        <w:rPr>
          <w:rFonts w:hint="eastAsia" w:ascii="黑体" w:hAnsi="黑体" w:eastAsia="黑体" w:cs="黑体"/>
          <w:sz w:val="32"/>
          <w:szCs w:val="32"/>
        </w:rPr>
        <w:t xml:space="preserve">    </w:t>
      </w:r>
      <w:bookmarkEnd w:id="71"/>
      <w:bookmarkEnd w:id="72"/>
      <w:bookmarkEnd w:id="73"/>
      <w:bookmarkEnd w:id="74"/>
      <w:r>
        <w:rPr>
          <w:rFonts w:hint="eastAsia" w:ascii="黑体" w:hAnsi="黑体" w:eastAsia="黑体" w:cs="黑体"/>
          <w:sz w:val="32"/>
          <w:szCs w:val="32"/>
        </w:rPr>
        <w:t>九、一般公共预算财政拨款“三公”经费支出决算公开表（见正文附件）。</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十、政府性基金预算财政拨款“三公”经费支出决算公开表</w:t>
      </w:r>
      <w:r>
        <w:rPr>
          <w:rFonts w:hint="eastAsia" w:ascii="黑体" w:hAnsi="黑体" w:eastAsia="黑体" w:cs="黑体"/>
          <w:sz w:val="32"/>
          <w:szCs w:val="32"/>
        </w:rPr>
        <w:t>（见正文附件）。</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十一、国有资本经营预算财政拨款“三公”经费支出决算公开表</w:t>
      </w:r>
      <w:r>
        <w:rPr>
          <w:rFonts w:hint="eastAsia" w:ascii="黑体" w:hAnsi="黑体" w:eastAsia="黑体" w:cs="黑体"/>
          <w:sz w:val="32"/>
          <w:szCs w:val="32"/>
        </w:rPr>
        <w:t>（见正文附件）。</w:t>
      </w:r>
    </w:p>
    <w:p>
      <w:pPr>
        <w:jc w:val="center"/>
        <w:rPr>
          <w:rFonts w:ascii="黑体" w:hAnsi="ˎ̥" w:eastAsia="黑体" w:cs="Times New Roman"/>
          <w:sz w:val="32"/>
          <w:szCs w:val="32"/>
        </w:rPr>
      </w:pPr>
      <w:bookmarkStart w:id="75" w:name="_Toc4402_WPSOffice_Level1"/>
      <w:bookmarkStart w:id="76" w:name="_Toc27590_WPSOffice_Level1"/>
      <w:bookmarkStart w:id="77" w:name="_Toc29683_WPSOffice_Level1"/>
      <w:bookmarkStart w:id="78" w:name="_Toc16686_WPSOffice_Level1"/>
      <w:bookmarkStart w:id="79" w:name="_Toc31264_WPSOffice_Level1"/>
      <w:bookmarkStart w:id="80" w:name="_Toc28629_WPSOffice_Level1"/>
      <w:r>
        <w:rPr>
          <w:rFonts w:hint="eastAsia" w:ascii="黑体" w:hAnsi="ˎ̥" w:eastAsia="黑体" w:cs="Times New Roman"/>
          <w:sz w:val="32"/>
          <w:szCs w:val="32"/>
        </w:rPr>
        <w:t>第三部分  三亚市天涯区</w:t>
      </w:r>
      <w:r>
        <w:rPr>
          <w:rFonts w:hint="eastAsia" w:ascii="黑体" w:hAnsi="ˎ̥" w:eastAsia="黑体" w:cs="Times New Roman"/>
          <w:sz w:val="32"/>
          <w:szCs w:val="32"/>
          <w:lang w:val="en-US" w:eastAsia="zh-CN"/>
        </w:rPr>
        <w:t>第五幼儿园</w:t>
      </w:r>
      <w:r>
        <w:rPr>
          <w:rFonts w:hint="eastAsia" w:ascii="黑体" w:hAnsi="ˎ̥" w:eastAsia="黑体" w:cs="Times New Roman"/>
          <w:sz w:val="32"/>
          <w:szCs w:val="32"/>
          <w:lang w:eastAsia="zh-CN"/>
        </w:rPr>
        <w:t>202</w:t>
      </w:r>
      <w:r>
        <w:rPr>
          <w:rFonts w:hint="eastAsia" w:ascii="黑体" w:hAnsi="ˎ̥" w:eastAsia="黑体" w:cs="Times New Roman"/>
          <w:sz w:val="32"/>
          <w:szCs w:val="32"/>
          <w:lang w:val="en-US" w:eastAsia="zh-CN"/>
        </w:rPr>
        <w:t>2</w:t>
      </w:r>
      <w:r>
        <w:rPr>
          <w:rFonts w:hint="eastAsia" w:ascii="黑体" w:hAnsi="ˎ̥" w:eastAsia="黑体" w:cs="Times New Roman"/>
          <w:sz w:val="32"/>
          <w:szCs w:val="32"/>
        </w:rPr>
        <w:t>年度</w:t>
      </w:r>
      <w:r>
        <w:rPr>
          <w:rFonts w:hint="eastAsia" w:ascii="黑体" w:hAnsi="ˎ̥" w:eastAsia="黑体" w:cs="Times New Roman"/>
          <w:sz w:val="32"/>
          <w:szCs w:val="32"/>
          <w:lang w:eastAsia="zh-CN"/>
        </w:rPr>
        <w:t>单位</w:t>
      </w:r>
      <w:r>
        <w:rPr>
          <w:rFonts w:hint="eastAsia" w:ascii="黑体" w:hAnsi="ˎ̥" w:eastAsia="黑体" w:cs="Times New Roman"/>
          <w:sz w:val="32"/>
          <w:szCs w:val="32"/>
        </w:rPr>
        <w:t>决算情况说明</w:t>
      </w:r>
      <w:bookmarkEnd w:id="75"/>
      <w:bookmarkEnd w:id="76"/>
      <w:bookmarkEnd w:id="77"/>
      <w:bookmarkEnd w:id="78"/>
      <w:bookmarkEnd w:id="79"/>
      <w:bookmarkEnd w:id="80"/>
    </w:p>
    <w:p>
      <w:pPr>
        <w:numPr>
          <w:ilvl w:val="0"/>
          <w:numId w:val="0"/>
        </w:numPr>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收入支出决算总体情况说明</w:t>
      </w:r>
    </w:p>
    <w:p>
      <w:pPr>
        <w:numPr>
          <w:ilvl w:val="0"/>
          <w:numId w:val="0"/>
        </w:num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highlight w:val="none"/>
          <w:lang w:val="en-US" w:eastAsia="zh-CN"/>
        </w:rPr>
        <w:t>2022年度收入总计448.61万元，支出总计448.61万元，与2021年度相比，收入总计增加88.25万元，上升80%、支出总计增加88.25万元，增加80%。使用非财政拨款结余0万元。年初结转结余0万元，年末结转结余0万元。主要原因是2021年我园新增三个教学班级，人员经费增加。</w:t>
      </w:r>
    </w:p>
    <w:p>
      <w:pPr>
        <w:numPr>
          <w:ilvl w:val="0"/>
          <w:numId w:val="0"/>
        </w:numPr>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二、收入决算情况说明</w:t>
      </w:r>
    </w:p>
    <w:p>
      <w:pPr>
        <w:numPr>
          <w:ilvl w:val="0"/>
          <w:numId w:val="0"/>
        </w:num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本年收入合计448.61万元，其中：财政拨款收入438.74万元，占97.79%；其他收入9.87万元，占0.022%。</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27" w:firstLineChars="196"/>
        <w:rPr>
          <w:rFonts w:hint="eastAsia" w:ascii="仿宋_GB2312" w:hAnsi="ˎ̥" w:eastAsia="仿宋_GB2312" w:cs="Times New Roman"/>
          <w:sz w:val="32"/>
          <w:szCs w:val="32"/>
          <w:lang w:eastAsia="zh-CN"/>
        </w:rPr>
      </w:pPr>
      <w:r>
        <w:rPr>
          <w:rFonts w:hint="eastAsia" w:ascii="仿宋_GB2312" w:hAnsi="ˎ̥" w:eastAsia="仿宋_GB2312" w:cs="Times New Roman"/>
          <w:sz w:val="32"/>
          <w:szCs w:val="32"/>
        </w:rPr>
        <w:t>本年支出合计448.61万元，其中：教育支出430.90万元，占96.05%；社会保障和就业支出5.75万元，0.012%；卫生健康支出9.06万元，0.02%</w:t>
      </w:r>
      <w:r>
        <w:rPr>
          <w:rFonts w:hint="eastAsia" w:ascii="仿宋_GB2312" w:hAnsi="ˎ̥" w:eastAsia="仿宋_GB2312" w:cs="Times New Roman"/>
          <w:sz w:val="32"/>
          <w:szCs w:val="32"/>
          <w:lang w:eastAsia="zh-CN"/>
        </w:rPr>
        <w:t>。</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27" w:firstLineChars="196"/>
        <w:rPr>
          <w:rFonts w:hint="eastAsia" w:ascii="仿宋_GB2312" w:hAnsi="ˎ̥" w:eastAsia="仿宋_GB2312" w:cs="Times New Roman"/>
          <w:sz w:val="32"/>
          <w:szCs w:val="32"/>
          <w:highlight w:val="none"/>
          <w:lang w:val="en-US" w:eastAsia="zh-CN"/>
        </w:rPr>
      </w:pPr>
      <w:r>
        <w:rPr>
          <w:rFonts w:hint="eastAsia" w:ascii="仿宋_GB2312" w:hAnsi="ˎ̥" w:eastAsia="仿宋_GB2312" w:cs="Times New Roman"/>
          <w:sz w:val="32"/>
          <w:szCs w:val="32"/>
          <w:highlight w:val="none"/>
          <w:lang w:val="en-US" w:eastAsia="zh-CN"/>
        </w:rPr>
        <w:t>2022年度财政拨款收入总计438.74万元，支出总计438.74万元。与2021年度相比，财政拨款收入总计增加144.12万元，上升67.15%。支出总计增加144.12万元，增加67.15%，主要原因是2021年我园新增三个教学班级，人员经费增加。</w:t>
      </w:r>
    </w:p>
    <w:p>
      <w:pPr>
        <w:ind w:firstLine="627" w:firstLineChars="196"/>
        <w:rPr>
          <w:rFonts w:hint="eastAsia" w:ascii="仿宋_GB2312" w:hAnsi="ˎ̥" w:eastAsia="仿宋_GB2312" w:cs="Times New Roman"/>
          <w:sz w:val="32"/>
          <w:szCs w:val="32"/>
          <w:highlight w:val="none"/>
          <w:lang w:val="en-US" w:eastAsia="zh-CN"/>
        </w:rPr>
      </w:pPr>
      <w:r>
        <w:rPr>
          <w:rFonts w:hint="eastAsia" w:ascii="仿宋_GB2312" w:hAnsi="ˎ̥" w:eastAsia="仿宋_GB2312" w:cs="Times New Roman"/>
          <w:sz w:val="32"/>
          <w:szCs w:val="32"/>
          <w:highlight w:val="none"/>
          <w:lang w:val="en-US" w:eastAsia="zh-CN"/>
        </w:rPr>
        <w:t>财政拨款年初结转结余0万元。财政拨款年末结转结余0万元。</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81" w:name="_Toc17398_WPSOffice_Level2"/>
      <w:bookmarkStart w:id="82" w:name="_Toc13694_WPSOffice_Level2"/>
      <w:bookmarkStart w:id="83" w:name="_Toc9989_WPSOffice_Level2"/>
      <w:bookmarkStart w:id="84" w:name="_Toc23005_WPSOffice_Level2"/>
      <w:bookmarkStart w:id="85" w:name="_Toc21737_WPSOffice_Level2"/>
      <w:bookmarkStart w:id="86" w:name="_Toc19665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hint="eastAsia" w:ascii="仿宋_GB2312" w:hAnsi="ˎ̥" w:eastAsia="仿宋_GB2312" w:cs="Times New Roman"/>
          <w:sz w:val="32"/>
          <w:szCs w:val="32"/>
          <w:lang w:eastAsia="zh-CN"/>
        </w:rPr>
      </w:pPr>
      <w:bookmarkStart w:id="87" w:name="_Toc18793_WPSOffice_Level2"/>
      <w:bookmarkStart w:id="88" w:name="_Toc2711_WPSOffice_Level2"/>
      <w:bookmarkStart w:id="89" w:name="_Toc19075_WPSOffice_Level2"/>
      <w:bookmarkStart w:id="90" w:name="_Toc19535_WPSOffice_Level2"/>
      <w:bookmarkStart w:id="91" w:name="_Toc27767_WPSOffice_Level2"/>
      <w:bookmarkStart w:id="92" w:name="_Toc23864_WPSOffice_Level2"/>
      <w:r>
        <w:rPr>
          <w:rFonts w:hint="eastAsia" w:ascii="仿宋_GB2312" w:hAnsi="ˎ̥" w:eastAsia="仿宋_GB2312" w:cs="Times New Roman"/>
          <w:sz w:val="32"/>
          <w:szCs w:val="32"/>
          <w:lang w:eastAsia="zh-CN"/>
        </w:rPr>
        <w:t>2022年度一般公共预算财政拨款支出438.74万元，占本年支出合计的97.79%。与2021年度相比，一般公共预算财政拨款支出增加144.12万元，增加67.15%，主要原因是2021年我园新增三个教学班级，经费增加。</w:t>
      </w:r>
    </w:p>
    <w:p>
      <w:pPr>
        <w:ind w:firstLine="640" w:firstLineChars="200"/>
        <w:rPr>
          <w:rFonts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highlight w:val="none"/>
        </w:rPr>
        <w:t>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hint="eastAsia" w:ascii="仿宋_GB2312" w:hAnsi="ˎ̥" w:eastAsia="仿宋_GB2312" w:cs="Times New Roman"/>
          <w:sz w:val="32"/>
          <w:szCs w:val="32"/>
          <w:lang w:eastAsia="zh-CN"/>
        </w:rPr>
      </w:pPr>
      <w:bookmarkStart w:id="93" w:name="_Toc21701_WPSOffice_Level2"/>
      <w:bookmarkStart w:id="94" w:name="_Toc22318_WPSOffice_Level2"/>
      <w:bookmarkStart w:id="95" w:name="_Toc29364_WPSOffice_Level2"/>
      <w:bookmarkStart w:id="96" w:name="_Toc15415_WPSOffice_Level2"/>
      <w:bookmarkStart w:id="97" w:name="_Toc9502_WPSOffice_Level2"/>
      <w:bookmarkStart w:id="98" w:name="_Toc25136_WPSOffice_Level2"/>
      <w:r>
        <w:rPr>
          <w:rFonts w:hint="eastAsia" w:ascii="仿宋_GB2312" w:hAnsi="ˎ̥" w:eastAsia="仿宋_GB2312" w:cs="Times New Roman"/>
          <w:sz w:val="32"/>
          <w:szCs w:val="32"/>
          <w:lang w:eastAsia="zh-CN"/>
        </w:rPr>
        <w:t>2022年度一般公共预算财政拨款支出438.74万元，主要用于以下方面：工资福利支出67.53万元，占0.15%；商品和服务支出1.96万元，0.004%。</w:t>
      </w:r>
    </w:p>
    <w:p>
      <w:pPr>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（三）一般公共预算财政拨款支出决算具体情况。</w:t>
      </w:r>
      <w:bookmarkEnd w:id="93"/>
      <w:bookmarkEnd w:id="94"/>
      <w:bookmarkEnd w:id="95"/>
      <w:bookmarkEnd w:id="96"/>
      <w:bookmarkEnd w:id="97"/>
      <w:bookmarkEnd w:id="98"/>
    </w:p>
    <w:p>
      <w:pPr>
        <w:ind w:firstLine="640" w:firstLineChars="200"/>
        <w:rPr>
          <w:rFonts w:hint="eastAsia" w:ascii="仿宋_GB2312" w:hAnsi="ˎ̥" w:eastAsia="仿宋_GB2312" w:cs="Times New Roman"/>
          <w:sz w:val="32"/>
          <w:szCs w:val="32"/>
          <w:highlight w:val="none"/>
          <w:lang w:eastAsia="zh-CN"/>
        </w:rPr>
      </w:pPr>
      <w:r>
        <w:rPr>
          <w:rFonts w:hint="eastAsia" w:ascii="仿宋_GB2312" w:hAnsi="ˎ̥" w:eastAsia="仿宋_GB2312" w:cs="Times New Roman"/>
          <w:sz w:val="32"/>
          <w:szCs w:val="32"/>
          <w:highlight w:val="none"/>
          <w:lang w:eastAsia="zh-CN"/>
        </w:rPr>
        <w:t>2022年度一般公共预算财政拨款支出年初预算为382.65万元，支出决算为438.74万元，完成年初预算的100%。其中：</w:t>
      </w:r>
    </w:p>
    <w:p>
      <w:pPr>
        <w:ind w:firstLine="640" w:firstLineChars="200"/>
        <w:rPr>
          <w:rFonts w:ascii="仿宋_GB2312" w:hAnsi="ˎ̥" w:eastAsia="仿宋_GB2312" w:cs="Times New Roman"/>
          <w:b/>
          <w:sz w:val="32"/>
          <w:szCs w:val="32"/>
          <w:highlight w:val="none"/>
        </w:rPr>
      </w:pPr>
      <w:r>
        <w:rPr>
          <w:rFonts w:hint="eastAsia" w:ascii="仿宋_GB2312" w:hAnsi="ˎ̥" w:eastAsia="仿宋_GB2312" w:cs="Times New Roman"/>
          <w:sz w:val="32"/>
          <w:szCs w:val="32"/>
          <w:highlight w:val="none"/>
          <w:lang w:val="en-US" w:eastAsia="zh-CN"/>
        </w:rPr>
        <w:t>1</w:t>
      </w:r>
      <w:r>
        <w:rPr>
          <w:rFonts w:hint="eastAsia" w:ascii="仿宋_GB2312" w:hAnsi="ˎ̥" w:eastAsia="仿宋_GB2312" w:cs="Times New Roman"/>
          <w:sz w:val="32"/>
          <w:szCs w:val="32"/>
          <w:highlight w:val="none"/>
        </w:rPr>
        <w:t>.</w:t>
      </w:r>
      <w:r>
        <w:rPr>
          <w:rFonts w:hint="eastAsia" w:ascii="仿宋_GB2312" w:hAnsi="ˎ̥" w:eastAsia="仿宋_GB2312" w:cs="Times New Roman"/>
          <w:b/>
          <w:sz w:val="32"/>
          <w:szCs w:val="32"/>
          <w:highlight w:val="none"/>
        </w:rPr>
        <w:t>教育</w:t>
      </w:r>
      <w:r>
        <w:rPr>
          <w:rFonts w:hint="eastAsia" w:ascii="仿宋_GB2312" w:hAnsi="ˎ̥" w:eastAsia="仿宋_GB2312" w:cs="Times New Roman"/>
          <w:b/>
          <w:sz w:val="32"/>
          <w:szCs w:val="32"/>
          <w:highlight w:val="none"/>
          <w:lang w:val="en-US" w:eastAsia="zh-CN"/>
        </w:rPr>
        <w:t>支出</w:t>
      </w:r>
      <w:r>
        <w:rPr>
          <w:rFonts w:hint="eastAsia" w:ascii="仿宋_GB2312" w:hAnsi="ˎ̥" w:eastAsia="仿宋_GB2312" w:cs="Times New Roman"/>
          <w:b/>
          <w:sz w:val="32"/>
          <w:szCs w:val="32"/>
          <w:highlight w:val="none"/>
        </w:rPr>
        <w:t>（类）普通教育（款）</w:t>
      </w:r>
      <w:r>
        <w:rPr>
          <w:rFonts w:hint="eastAsia" w:ascii="仿宋_GB2312" w:hAnsi="ˎ̥" w:eastAsia="仿宋_GB2312" w:cs="Times New Roman"/>
          <w:b/>
          <w:sz w:val="32"/>
          <w:szCs w:val="32"/>
          <w:highlight w:val="none"/>
          <w:lang w:val="en-US" w:eastAsia="zh-CN"/>
        </w:rPr>
        <w:t>学前教育</w:t>
      </w:r>
      <w:r>
        <w:rPr>
          <w:rFonts w:hint="eastAsia" w:ascii="仿宋_GB2312" w:hAnsi="ˎ̥" w:eastAsia="仿宋_GB2312" w:cs="Times New Roman"/>
          <w:b/>
          <w:sz w:val="32"/>
          <w:szCs w:val="32"/>
          <w:highlight w:val="none"/>
        </w:rPr>
        <w:t>（项）。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421.02</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421.02</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ind w:firstLine="640" w:firstLineChars="200"/>
        <w:rPr>
          <w:rFonts w:ascii="仿宋_GB2312" w:hAnsi="ˎ̥" w:eastAsia="仿宋_GB2312" w:cs="Times New Roman"/>
          <w:sz w:val="32"/>
          <w:szCs w:val="32"/>
          <w:highlight w:val="none"/>
        </w:rPr>
      </w:pPr>
      <w:r>
        <w:rPr>
          <w:rFonts w:hint="eastAsia" w:ascii="仿宋_GB2312" w:hAnsi="ˎ̥" w:eastAsia="仿宋_GB2312" w:cs="Times New Roman"/>
          <w:sz w:val="32"/>
          <w:szCs w:val="32"/>
          <w:highlight w:val="none"/>
          <w:lang w:val="en-US" w:eastAsia="zh-CN"/>
        </w:rPr>
        <w:t>2</w:t>
      </w:r>
      <w:r>
        <w:rPr>
          <w:rFonts w:hint="eastAsia" w:ascii="仿宋_GB2312" w:hAnsi="ˎ̥" w:eastAsia="仿宋_GB2312" w:cs="Times New Roman"/>
          <w:sz w:val="32"/>
          <w:szCs w:val="32"/>
          <w:highlight w:val="none"/>
        </w:rPr>
        <w:t>.</w:t>
      </w:r>
      <w:r>
        <w:rPr>
          <w:rFonts w:hint="eastAsia" w:ascii="仿宋_GB2312" w:hAnsi="ˎ̥" w:eastAsia="仿宋_GB2312" w:cs="Times New Roman"/>
          <w:b/>
          <w:sz w:val="32"/>
          <w:szCs w:val="32"/>
          <w:highlight w:val="none"/>
          <w:lang w:val="en-US" w:eastAsia="zh-CN"/>
        </w:rPr>
        <w:t>社会保障和就业支出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行政事业单位养老支出</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机关事业单位基本养老保险缴费支出</w:t>
      </w:r>
      <w:r>
        <w:rPr>
          <w:rFonts w:hint="eastAsia" w:ascii="仿宋_GB2312" w:hAnsi="ˎ̥" w:eastAsia="仿宋_GB2312" w:cs="Times New Roman"/>
          <w:b/>
          <w:sz w:val="32"/>
          <w:szCs w:val="32"/>
          <w:highlight w:val="none"/>
        </w:rPr>
        <w:t>（项）</w:t>
      </w:r>
    </w:p>
    <w:p>
      <w:pPr>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5.7</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5.7</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ind w:firstLine="643" w:firstLineChars="200"/>
        <w:rPr>
          <w:rFonts w:hint="eastAsia" w:ascii="仿宋_GB2312" w:hAnsi="ˎ̥" w:eastAsia="仿宋_GB2312" w:cs="Times New Roman"/>
          <w:b/>
          <w:sz w:val="32"/>
          <w:szCs w:val="32"/>
          <w:highlight w:val="none"/>
        </w:rPr>
      </w:pPr>
      <w:r>
        <w:rPr>
          <w:rFonts w:hint="eastAsia" w:ascii="仿宋_GB2312" w:hAnsi="ˎ̥" w:eastAsia="仿宋_GB2312" w:cs="Times New Roman"/>
          <w:b/>
          <w:sz w:val="32"/>
          <w:szCs w:val="32"/>
          <w:highlight w:val="none"/>
          <w:lang w:val="en-US" w:eastAsia="zh-CN"/>
        </w:rPr>
        <w:t>3.卫生健康支出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行政事业单位医疗</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事业单位医疗</w:t>
      </w:r>
      <w:r>
        <w:rPr>
          <w:rFonts w:hint="eastAsia" w:ascii="仿宋_GB2312" w:hAnsi="ˎ̥" w:eastAsia="仿宋_GB2312" w:cs="Times New Roman"/>
          <w:b/>
          <w:sz w:val="32"/>
          <w:szCs w:val="32"/>
          <w:highlight w:val="none"/>
        </w:rPr>
        <w:t>（项）</w:t>
      </w:r>
    </w:p>
    <w:p>
      <w:pPr>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2.4</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2.4</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ˎ̥" w:eastAsia="仿宋_GB2312" w:cs="Times New Roman"/>
          <w:b/>
          <w:sz w:val="32"/>
          <w:szCs w:val="32"/>
          <w:highlight w:val="none"/>
          <w:lang w:val="en-US" w:eastAsia="zh-CN"/>
        </w:rPr>
      </w:pPr>
      <w:r>
        <w:rPr>
          <w:rFonts w:hint="eastAsia" w:ascii="仿宋_GB2312" w:hAnsi="ˎ̥" w:eastAsia="仿宋_GB2312" w:cs="Times New Roman"/>
          <w:b/>
          <w:sz w:val="32"/>
          <w:szCs w:val="32"/>
          <w:highlight w:val="none"/>
          <w:lang w:val="en-US" w:eastAsia="zh-CN"/>
        </w:rPr>
        <w:t>4.卫生健康支出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行政事业单位医疗</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公务员医疗补助</w:t>
      </w:r>
      <w:r>
        <w:rPr>
          <w:rFonts w:hint="eastAsia" w:ascii="仿宋_GB2312" w:hAnsi="ˎ̥" w:eastAsia="仿宋_GB2312" w:cs="Times New Roman"/>
          <w:b/>
          <w:sz w:val="32"/>
          <w:szCs w:val="32"/>
          <w:highlight w:val="none"/>
        </w:rPr>
        <w:t>（项）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ˎ̥" w:eastAsia="仿宋_GB2312" w:cs="Times New Roman"/>
          <w:sz w:val="32"/>
          <w:szCs w:val="32"/>
          <w:highlight w:val="none"/>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4.56</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4.56</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ˎ̥" w:eastAsia="仿宋_GB2312" w:cs="Times New Roman"/>
          <w:b/>
          <w:sz w:val="32"/>
          <w:szCs w:val="32"/>
          <w:highlight w:val="none"/>
          <w:lang w:val="en-US" w:eastAsia="zh-CN"/>
        </w:rPr>
      </w:pPr>
      <w:r>
        <w:rPr>
          <w:rFonts w:hint="eastAsia" w:ascii="仿宋_GB2312" w:hAnsi="ˎ̥" w:eastAsia="仿宋_GB2312" w:cs="Times New Roman"/>
          <w:b/>
          <w:sz w:val="32"/>
          <w:szCs w:val="32"/>
          <w:highlight w:val="none"/>
          <w:lang w:val="en-US" w:eastAsia="zh-CN"/>
        </w:rPr>
        <w:t>6.住房保障支出</w:t>
      </w:r>
      <w:r>
        <w:rPr>
          <w:rFonts w:hint="eastAsia" w:ascii="仿宋_GB2312" w:hAnsi="ˎ̥" w:eastAsia="仿宋_GB2312" w:cs="Times New Roman"/>
          <w:b/>
          <w:sz w:val="32"/>
          <w:szCs w:val="32"/>
          <w:highlight w:val="none"/>
        </w:rPr>
        <w:t>（类）</w:t>
      </w:r>
      <w:r>
        <w:rPr>
          <w:rFonts w:hint="eastAsia" w:ascii="仿宋_GB2312" w:hAnsi="ˎ̥" w:eastAsia="仿宋_GB2312" w:cs="Times New Roman"/>
          <w:b/>
          <w:sz w:val="32"/>
          <w:szCs w:val="32"/>
          <w:highlight w:val="none"/>
          <w:lang w:val="en-US" w:eastAsia="zh-CN"/>
        </w:rPr>
        <w:t>住房改革支出</w:t>
      </w:r>
      <w:r>
        <w:rPr>
          <w:rFonts w:hint="eastAsia" w:ascii="仿宋_GB2312" w:hAnsi="ˎ̥" w:eastAsia="仿宋_GB2312" w:cs="Times New Roman"/>
          <w:b/>
          <w:sz w:val="32"/>
          <w:szCs w:val="32"/>
          <w:highlight w:val="none"/>
        </w:rPr>
        <w:t>（款）</w:t>
      </w:r>
      <w:r>
        <w:rPr>
          <w:rFonts w:hint="eastAsia" w:ascii="仿宋_GB2312" w:hAnsi="ˎ̥" w:eastAsia="仿宋_GB2312" w:cs="Times New Roman"/>
          <w:b/>
          <w:sz w:val="32"/>
          <w:szCs w:val="32"/>
          <w:highlight w:val="none"/>
          <w:lang w:val="en-US" w:eastAsia="zh-CN"/>
        </w:rPr>
        <w:t>住房公积金</w:t>
      </w:r>
      <w:r>
        <w:rPr>
          <w:rFonts w:hint="eastAsia" w:ascii="仿宋_GB2312" w:hAnsi="ˎ̥" w:eastAsia="仿宋_GB2312" w:cs="Times New Roman"/>
          <w:b/>
          <w:sz w:val="32"/>
          <w:szCs w:val="32"/>
          <w:highlight w:val="none"/>
        </w:rPr>
        <w:t>（项）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cs="Times New Roman"/>
          <w:sz w:val="32"/>
          <w:szCs w:val="32"/>
          <w:highlight w:val="yellow"/>
          <w:lang w:val="en-US" w:eastAsia="zh-CN"/>
        </w:rPr>
      </w:pPr>
      <w:r>
        <w:rPr>
          <w:rFonts w:hint="eastAsia" w:ascii="仿宋_GB2312" w:hAnsi="ˎ̥" w:eastAsia="仿宋_GB2312" w:cs="Times New Roman"/>
          <w:sz w:val="32"/>
          <w:szCs w:val="32"/>
          <w:highlight w:val="none"/>
        </w:rPr>
        <w:t>年初预算为</w:t>
      </w:r>
      <w:r>
        <w:rPr>
          <w:rFonts w:hint="eastAsia" w:ascii="仿宋_GB2312" w:hAnsi="ˎ̥" w:eastAsia="仿宋_GB2312" w:cs="Times New Roman"/>
          <w:sz w:val="32"/>
          <w:szCs w:val="32"/>
          <w:highlight w:val="none"/>
          <w:lang w:val="en-US" w:eastAsia="zh-CN"/>
        </w:rPr>
        <w:t>4.95</w:t>
      </w:r>
      <w:r>
        <w:rPr>
          <w:rFonts w:hint="eastAsia" w:ascii="仿宋_GB2312" w:hAnsi="ˎ̥" w:eastAsia="仿宋_GB2312" w:cs="Times New Roman"/>
          <w:sz w:val="32"/>
          <w:szCs w:val="32"/>
          <w:highlight w:val="none"/>
        </w:rPr>
        <w:t>万元，支出决算为</w:t>
      </w:r>
      <w:r>
        <w:rPr>
          <w:rFonts w:hint="eastAsia" w:ascii="仿宋_GB2312" w:hAnsi="ˎ̥" w:eastAsia="仿宋_GB2312" w:cs="Times New Roman"/>
          <w:sz w:val="32"/>
          <w:szCs w:val="32"/>
          <w:highlight w:val="none"/>
          <w:lang w:val="en-US" w:eastAsia="zh-CN"/>
        </w:rPr>
        <w:t>4.95</w:t>
      </w:r>
      <w:r>
        <w:rPr>
          <w:rFonts w:hint="eastAsia" w:ascii="仿宋_GB2312" w:hAnsi="ˎ̥" w:eastAsia="仿宋_GB2312" w:cs="Times New Roman"/>
          <w:sz w:val="32"/>
          <w:szCs w:val="32"/>
          <w:highlight w:val="none"/>
        </w:rPr>
        <w:t>万元，完成年初预算的</w:t>
      </w:r>
      <w:r>
        <w:rPr>
          <w:rFonts w:hint="eastAsia" w:ascii="仿宋_GB2312" w:hAnsi="ˎ̥" w:eastAsia="仿宋_GB2312" w:cs="Times New Roman"/>
          <w:sz w:val="32"/>
          <w:szCs w:val="32"/>
          <w:highlight w:val="none"/>
          <w:lang w:val="en-US" w:eastAsia="zh-CN"/>
        </w:rPr>
        <w:t>100</w:t>
      </w:r>
      <w:r>
        <w:rPr>
          <w:rFonts w:hint="eastAsia" w:ascii="仿宋_GB2312" w:hAnsi="ˎ̥" w:eastAsia="仿宋_GB2312" w:cs="Times New Roman"/>
          <w:sz w:val="32"/>
          <w:szCs w:val="32"/>
          <w:highlight w:val="none"/>
        </w:rPr>
        <w:t>%。</w:t>
      </w:r>
    </w:p>
    <w:p>
      <w:pPr>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hint="default" w:ascii="仿宋_GB2312" w:hAnsi="ˎ̥" w:eastAsia="仿宋_GB2312" w:cs="Times New Roman"/>
          <w:sz w:val="32"/>
          <w:szCs w:val="32"/>
          <w:lang w:val="en-US"/>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年度财政拨款基本支出</w:t>
      </w:r>
      <w:r>
        <w:rPr>
          <w:rFonts w:hint="eastAsia" w:ascii="仿宋_GB2312" w:hAnsi="ˎ̥" w:eastAsia="仿宋_GB2312" w:cs="Times New Roman"/>
          <w:sz w:val="32"/>
          <w:szCs w:val="32"/>
          <w:lang w:val="en-US" w:eastAsia="zh-CN"/>
        </w:rPr>
        <w:t>67.52</w:t>
      </w:r>
      <w:r>
        <w:rPr>
          <w:rFonts w:hint="eastAsia" w:ascii="仿宋_GB2312" w:hAnsi="ˎ̥" w:eastAsia="仿宋_GB2312" w:cs="Times New Roman"/>
          <w:sz w:val="32"/>
          <w:szCs w:val="32"/>
        </w:rPr>
        <w:t>万元，</w:t>
      </w:r>
      <w:r>
        <w:rPr>
          <w:rFonts w:ascii="仿宋_GB2312" w:hAnsi="ˎ̥" w:eastAsia="仿宋_GB2312" w:cs="仿宋_GB2312"/>
          <w:sz w:val="32"/>
          <w:szCs w:val="32"/>
        </w:rPr>
        <w:t>其中：</w:t>
      </w:r>
      <w:r>
        <w:rPr>
          <w:rFonts w:hint="eastAsia" w:ascii="仿宋_GB2312" w:hAnsi="ˎ̥" w:eastAsia="仿宋_GB2312" w:cs="仿宋_GB2312"/>
          <w:sz w:val="32"/>
          <w:szCs w:val="32"/>
          <w:lang w:val="en-US" w:eastAsia="zh-CN"/>
        </w:rPr>
        <w:t>工资福利支出36.73</w:t>
      </w:r>
      <w:r>
        <w:rPr>
          <w:rFonts w:hint="default" w:ascii="仿宋_GB2312" w:hAnsi="ˎ̥" w:eastAsia="仿宋_GB2312" w:cs="仿宋_GB2312"/>
          <w:sz w:val="32"/>
          <w:szCs w:val="32"/>
        </w:rPr>
        <w:t>万元，</w:t>
      </w:r>
      <w:r>
        <w:rPr>
          <w:rFonts w:hint="eastAsia" w:ascii="仿宋_GB2312" w:hAnsi="ˎ̥" w:eastAsia="仿宋_GB2312" w:cs="仿宋_GB2312"/>
          <w:sz w:val="32"/>
          <w:szCs w:val="32"/>
          <w:lang w:val="en-US" w:eastAsia="zh-CN"/>
        </w:rPr>
        <w:t>主要包括：基本工资、津贴补贴、绩效工资、机关事业单位基本养老保险缴费、职业年金缴费、基本医疗保险缴费、公务员医疗补助缴费、其他社会保障缴费、住房公积金和医疗费</w:t>
      </w:r>
      <w:r>
        <w:rPr>
          <w:rFonts w:hint="eastAsia" w:ascii="仿宋_GB2312" w:hAnsi="ˎ̥" w:eastAsia="仿宋_GB2312" w:cs="仿宋_GB2312"/>
          <w:sz w:val="32"/>
          <w:szCs w:val="32"/>
          <w:lang w:eastAsia="zh-CN"/>
        </w:rPr>
        <w:t>；</w:t>
      </w:r>
      <w:r>
        <w:rPr>
          <w:rFonts w:hint="eastAsia" w:ascii="仿宋_GB2312" w:hAnsi="ˎ̥" w:eastAsia="仿宋_GB2312" w:cs="Times New Roman"/>
          <w:sz w:val="32"/>
          <w:szCs w:val="32"/>
          <w:lang w:val="en-US" w:eastAsia="zh-CN"/>
        </w:rPr>
        <w:t>商品和服务支出14.05</w:t>
      </w:r>
      <w:r>
        <w:rPr>
          <w:rFonts w:hint="eastAsia" w:ascii="仿宋_GB2312" w:hAnsi="ˎ̥" w:eastAsia="仿宋_GB2312" w:cs="Times New Roman"/>
          <w:sz w:val="32"/>
          <w:szCs w:val="32"/>
        </w:rPr>
        <w:t>万元，主要包括：</w:t>
      </w:r>
      <w:r>
        <w:rPr>
          <w:rFonts w:hint="eastAsia" w:ascii="仿宋_GB2312" w:hAnsi="ˎ̥" w:eastAsia="仿宋_GB2312" w:cs="Times New Roman"/>
          <w:sz w:val="32"/>
          <w:szCs w:val="32"/>
          <w:lang w:val="en-US" w:eastAsia="zh-CN"/>
        </w:rPr>
        <w:t>邮电费、工会经费和其他商品和服务支出。</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年度政府性基金预算财政拨款支出0万元，占本年支出合计的0%。与</w:t>
      </w: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年度相比，政府性基金预算财政拨款支出增加0万元，增长0%，主要原因是没有该项预算。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年度政府性基金预算财政拨款支出0万元。</w:t>
      </w:r>
    </w:p>
    <w:p>
      <w:pPr>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年度政府性基金预算财政拨款支出年初预算为0万元，支出决算为0万元，完成年初预算的0%。</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年度国有资本经营预算财政拨款支出0万元，占本年支出合计的0%。与</w:t>
      </w: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1</w:t>
      </w:r>
      <w:r>
        <w:rPr>
          <w:rFonts w:hint="eastAsia" w:ascii="仿宋_GB2312" w:hAnsi="ˎ̥" w:eastAsia="仿宋_GB2312" w:cs="Times New Roman"/>
          <w:sz w:val="32"/>
          <w:szCs w:val="32"/>
        </w:rPr>
        <w:t>年度相比，国有资本经营预算财政拨款支出增加0万元，增长0%，主要原因是没有该项预算。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年度国有资本经营预算财政拨款支出0万元。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年度国有资本经营预算财政拨款支出年初预算为0万元，支出决算为0万元，完成年初预算的0%。</w:t>
      </w:r>
    </w:p>
    <w:p>
      <w:pPr>
        <w:ind w:firstLine="627" w:firstLineChars="196"/>
        <w:rPr>
          <w:rFonts w:ascii="仿宋_GB2312" w:hAnsi="ˎ̥" w:eastAsia="楷体_GB2312" w:cs="Times New Roman"/>
          <w:sz w:val="32"/>
          <w:szCs w:val="32"/>
        </w:rPr>
      </w:pPr>
      <w:r>
        <w:rPr>
          <w:rFonts w:hint="eastAsia" w:ascii="黑体" w:hAnsi="黑体" w:eastAsia="黑体" w:cs="黑体"/>
          <w:bCs/>
          <w:sz w:val="32"/>
          <w:szCs w:val="32"/>
        </w:rPr>
        <w:t>九、财政拨款“三公”经费支出决算情况说明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（一）财政拨款“三公”经费支出决算总体情况说明。</w:t>
      </w:r>
    </w:p>
    <w:p>
      <w:pPr>
        <w:ind w:firstLine="640"/>
        <w:rPr>
          <w:rFonts w:hint="eastAsia" w:ascii="仿宋_GB2312" w:hAnsi="ˎ̥" w:eastAsia="仿宋_GB2312" w:cs="Times New Roman"/>
          <w:sz w:val="32"/>
          <w:szCs w:val="32"/>
          <w:lang w:eastAsia="zh-CN"/>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年度财政拨款“三公”经费支出预算为0万元，支出决算为0万元，完成预算的0%</w:t>
      </w:r>
      <w:r>
        <w:rPr>
          <w:rFonts w:hint="eastAsia" w:ascii="仿宋_GB2312" w:hAnsi="ˎ̥" w:eastAsia="仿宋_GB2312" w:cs="Times New Roman"/>
          <w:sz w:val="32"/>
          <w:szCs w:val="32"/>
          <w:lang w:eastAsia="zh-CN"/>
        </w:rPr>
        <w:t>，支出决算与预算数持平。</w:t>
      </w:r>
    </w:p>
    <w:p>
      <w:pPr>
        <w:ind w:firstLine="640"/>
        <w:rPr>
          <w:rFonts w:ascii="楷体" w:hAnsi="楷体" w:eastAsia="楷体" w:cs="楷体"/>
          <w:b/>
          <w:bCs/>
          <w:sz w:val="32"/>
          <w:szCs w:val="32"/>
        </w:rPr>
      </w:pPr>
      <w:r>
        <w:rPr>
          <w:rFonts w:hint="eastAsia" w:ascii="楷体" w:hAnsi="楷体" w:eastAsia="楷体" w:cs="楷体"/>
          <w:b/>
          <w:bCs/>
          <w:sz w:val="32"/>
          <w:szCs w:val="32"/>
        </w:rPr>
        <w:t>（二）财政拨款“三公”经费支出决算具体情况说明。</w:t>
      </w:r>
    </w:p>
    <w:p>
      <w:pPr>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lang w:eastAsia="zh-CN"/>
        </w:rPr>
        <w:t>202</w:t>
      </w:r>
      <w:r>
        <w:rPr>
          <w:rFonts w:hint="eastAsia" w:ascii="仿宋_GB2312" w:hAnsi="ˎ̥" w:eastAsia="仿宋_GB2312" w:cs="Times New Roman"/>
          <w:sz w:val="32"/>
          <w:szCs w:val="32"/>
          <w:lang w:val="en-US" w:eastAsia="zh-CN"/>
        </w:rPr>
        <w:t>2</w:t>
      </w:r>
      <w:r>
        <w:rPr>
          <w:rFonts w:hint="eastAsia" w:ascii="仿宋_GB2312" w:hAnsi="ˎ̥" w:eastAsia="仿宋_GB2312" w:cs="Times New Roman"/>
          <w:sz w:val="32"/>
          <w:szCs w:val="32"/>
        </w:rPr>
        <w:t>年度财政拨款“三公”经费支出决算中，因公出国（境）费支出决算0万元，占0%；公务用车购置及运行费支出决算0万元，占0%；公务接待费支出决算0万元，占0%。具体情况如下：</w:t>
      </w:r>
    </w:p>
    <w:p>
      <w:pPr>
        <w:ind w:firstLine="643" w:firstLineChars="200"/>
        <w:rPr>
          <w:rFonts w:hint="eastAsia" w:ascii="仿宋_GB2312" w:hAnsi="ˎ̥" w:eastAsia="仿宋_GB2312" w:cs="Times New Roman"/>
          <w:sz w:val="32"/>
          <w:szCs w:val="32"/>
        </w:rPr>
      </w:pPr>
      <w:r>
        <w:rPr>
          <w:rFonts w:hint="eastAsia" w:ascii="仿宋_GB2312" w:hAnsi="ˎ̥" w:eastAsia="仿宋_GB2312" w:cs="Times New Roman"/>
          <w:b/>
          <w:sz w:val="32"/>
          <w:szCs w:val="32"/>
        </w:rPr>
        <w:t>1.因公出国（境）费</w:t>
      </w:r>
      <w:r>
        <w:rPr>
          <w:rFonts w:hint="eastAsia" w:ascii="仿宋_GB2312" w:hAnsi="ˎ̥" w:eastAsia="仿宋_GB2312" w:cs="Times New Roman"/>
          <w:sz w:val="32"/>
          <w:szCs w:val="32"/>
        </w:rPr>
        <w:t>支出0万元。全年安排因公出国（境）团组0个，因公出国（境）0人次。</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因公出国（境）费支出决算与预算数持平。</w:t>
      </w:r>
    </w:p>
    <w:p>
      <w:pPr>
        <w:rPr>
          <w:rFonts w:ascii="仿宋_GB2312" w:hAnsi="ˎ̥" w:eastAsia="仿宋_GB2312" w:cs="Times New Roman"/>
          <w:sz w:val="32"/>
          <w:szCs w:val="32"/>
        </w:rPr>
      </w:pPr>
      <w:r>
        <w:rPr>
          <w:rFonts w:hint="eastAsia" w:ascii="仿宋_GB2312" w:hAnsi="ˎ̥" w:eastAsia="仿宋_GB2312" w:cs="Times New Roman"/>
          <w:b/>
          <w:sz w:val="32"/>
          <w:szCs w:val="32"/>
        </w:rPr>
        <w:t xml:space="preserve">    2.公务用车购置及运行费支出</w:t>
      </w:r>
      <w:r>
        <w:rPr>
          <w:rFonts w:hint="eastAsia" w:ascii="仿宋_GB2312" w:hAnsi="ˎ̥" w:eastAsia="仿宋_GB2312" w:cs="Times New Roman"/>
          <w:sz w:val="32"/>
          <w:szCs w:val="32"/>
        </w:rPr>
        <w:t>0万元。其中：</w:t>
      </w:r>
    </w:p>
    <w:p>
      <w:pPr>
        <w:ind w:firstLine="643" w:firstLineChars="200"/>
        <w:rPr>
          <w:rFonts w:ascii="仿宋_GB2312" w:hAnsi="ˎ̥" w:eastAsia="仿宋_GB2312" w:cs="Times New Roman"/>
          <w:sz w:val="32"/>
          <w:szCs w:val="32"/>
        </w:rPr>
      </w:pPr>
      <w:r>
        <w:rPr>
          <w:rFonts w:hint="eastAsia" w:ascii="仿宋_GB2312" w:hAnsi="ˎ̥" w:eastAsia="仿宋_GB2312" w:cs="Times New Roman"/>
          <w:b/>
          <w:sz w:val="32"/>
          <w:szCs w:val="32"/>
        </w:rPr>
        <w:t>公务用车购置支出</w:t>
      </w:r>
      <w:r>
        <w:rPr>
          <w:rFonts w:hint="eastAsia" w:ascii="仿宋_GB2312" w:hAnsi="ˎ̥" w:eastAsia="仿宋_GB2312" w:cs="Times New Roman"/>
          <w:sz w:val="32"/>
          <w:szCs w:val="32"/>
        </w:rPr>
        <w:t>0万元，全年购置公务用车0辆，年末公务用车保有量0辆。</w:t>
      </w:r>
    </w:p>
    <w:p>
      <w:pPr>
        <w:ind w:firstLine="643" w:firstLineChars="200"/>
        <w:rPr>
          <w:rFonts w:hint="eastAsia" w:ascii="仿宋_GB2312" w:hAnsi="ˎ̥" w:eastAsia="仿宋_GB2312" w:cs="Times New Roman"/>
          <w:sz w:val="32"/>
          <w:szCs w:val="32"/>
        </w:rPr>
      </w:pPr>
      <w:r>
        <w:rPr>
          <w:rFonts w:hint="eastAsia" w:ascii="仿宋_GB2312" w:hAnsi="ˎ̥" w:eastAsia="仿宋_GB2312" w:cs="Times New Roman"/>
          <w:b/>
          <w:sz w:val="32"/>
          <w:szCs w:val="32"/>
        </w:rPr>
        <w:t>公务用车运行维护费</w:t>
      </w:r>
      <w:r>
        <w:rPr>
          <w:rFonts w:hint="eastAsia" w:ascii="仿宋_GB2312" w:hAnsi="ˎ̥" w:eastAsia="仿宋_GB2312" w:cs="Times New Roman"/>
          <w:sz w:val="32"/>
          <w:szCs w:val="32"/>
        </w:rPr>
        <w:t>支出0万元。</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公务用车购置及运行费支出决算与预算数持平。</w:t>
      </w:r>
    </w:p>
    <w:p>
      <w:pPr>
        <w:rPr>
          <w:rFonts w:ascii="仿宋_GB2312" w:hAnsi="ˎ̥" w:eastAsia="仿宋_GB2312" w:cs="Times New Roman"/>
          <w:sz w:val="32"/>
          <w:szCs w:val="32"/>
        </w:rPr>
      </w:pPr>
      <w:r>
        <w:rPr>
          <w:rFonts w:hint="eastAsia" w:ascii="仿宋_GB2312" w:hAnsi="ˎ̥" w:eastAsia="仿宋_GB2312" w:cs="Times New Roman"/>
          <w:b/>
          <w:sz w:val="32"/>
          <w:szCs w:val="32"/>
        </w:rPr>
        <w:t xml:space="preserve">    3.公务接待费支出</w:t>
      </w:r>
      <w:r>
        <w:rPr>
          <w:rFonts w:hint="eastAsia" w:ascii="仿宋_GB2312" w:hAnsi="ˎ̥" w:eastAsia="仿宋_GB2312" w:cs="Times New Roman"/>
          <w:sz w:val="32"/>
          <w:szCs w:val="32"/>
        </w:rPr>
        <w:t>0万元，其中：</w:t>
      </w:r>
    </w:p>
    <w:p>
      <w:pPr>
        <w:ind w:firstLine="643" w:firstLineChars="200"/>
        <w:rPr>
          <w:rFonts w:ascii="仿宋_GB2312" w:hAnsi="ˎ̥" w:eastAsia="仿宋_GB2312" w:cs="Times New Roman"/>
          <w:sz w:val="32"/>
          <w:szCs w:val="32"/>
        </w:rPr>
      </w:pPr>
      <w:r>
        <w:rPr>
          <w:rFonts w:hint="eastAsia" w:ascii="仿宋_GB2312" w:hAnsi="ˎ̥" w:eastAsia="仿宋_GB2312" w:cs="Times New Roman"/>
          <w:b/>
          <w:sz w:val="32"/>
          <w:szCs w:val="32"/>
        </w:rPr>
        <w:t>国内接待费</w:t>
      </w:r>
      <w:r>
        <w:rPr>
          <w:rFonts w:hint="eastAsia" w:ascii="仿宋_GB2312" w:hAnsi="ˎ̥" w:eastAsia="仿宋_GB2312" w:cs="Times New Roman"/>
          <w:sz w:val="32"/>
          <w:szCs w:val="32"/>
        </w:rPr>
        <w:t>支出0万元，国内公务接待0批次，接待0人次。</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国（境）外接待费支出0万元，国（境）外公务接待0批次，接待0人次。</w:t>
      </w:r>
    </w:p>
    <w:p>
      <w:pPr>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lang w:val="zh-CN"/>
        </w:rPr>
        <w:t>公务接待费支出决算数与预算数持平。</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十</w:t>
      </w:r>
      <w:r>
        <w:rPr>
          <w:rFonts w:hint="eastAsia" w:ascii="黑体" w:hAnsi="黑体" w:eastAsia="黑体" w:cs="黑体"/>
          <w:bCs/>
          <w:sz w:val="32"/>
          <w:szCs w:val="32"/>
        </w:rPr>
        <w:t>、预算绩效情况说明。</w:t>
      </w:r>
    </w:p>
    <w:p>
      <w:pPr>
        <w:spacing w:line="578" w:lineRule="exact"/>
        <w:ind w:firstLine="643" w:firstLineChars="200"/>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（一）绩效管理工作开展情况。</w:t>
      </w:r>
    </w:p>
    <w:p>
      <w:pPr>
        <w:spacing w:line="578" w:lineRule="exact"/>
        <w:ind w:firstLine="960" w:firstLineChars="300"/>
        <w:rPr>
          <w:rFonts w:hint="default" w:ascii="楷体" w:hAnsi="楷体" w:eastAsia="楷体" w:cs="楷体"/>
          <w:b w:val="0"/>
          <w:bCs/>
          <w:color w:val="000000" w:themeColor="text1"/>
          <w:sz w:val="32"/>
          <w:szCs w:val="32"/>
          <w:lang w:val="en-US" w:eastAsia="zh-CN"/>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无。</w:t>
      </w:r>
    </w:p>
    <w:p>
      <w:pPr>
        <w:numPr>
          <w:ilvl w:val="0"/>
          <w:numId w:val="3"/>
        </w:numPr>
        <w:spacing w:line="578" w:lineRule="exact"/>
        <w:ind w:firstLine="643" w:firstLineChars="200"/>
        <w:rPr>
          <w:rFonts w:hint="eastAsia"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部门决算中项目绩效自评结果。</w:t>
      </w:r>
    </w:p>
    <w:p>
      <w:pPr>
        <w:numPr>
          <w:ilvl w:val="0"/>
          <w:numId w:val="0"/>
        </w:numPr>
        <w:spacing w:line="578" w:lineRule="exact"/>
        <w:rPr>
          <w:rFonts w:hint="default" w:ascii="仿宋_GB2312" w:hAnsi="Times New Roman" w:eastAsia="仿宋_GB2312" w:cs="Times New Roman"/>
          <w:color w:val="FF0000"/>
          <w:sz w:val="32"/>
          <w:szCs w:val="32"/>
          <w:highlight w:val="none"/>
          <w:lang w:val="en-US" w:eastAsia="zh-CN"/>
        </w:rPr>
      </w:pPr>
      <w:r>
        <w:rPr>
          <w:rFonts w:hint="eastAsia" w:ascii="楷体" w:hAnsi="楷体" w:eastAsia="楷体" w:cs="楷体"/>
          <w:b/>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s="Times New Roman"/>
          <w:sz w:val="32"/>
          <w:szCs w:val="32"/>
          <w:highlight w:val="none"/>
          <w:lang w:val="en-US" w:eastAsia="zh-CN"/>
        </w:rPr>
        <w:t xml:space="preserve">为了改善学校办学条件，完善学校硬件设备，保障学校平稳发展满足学校教学需求，学校引进师资队伍；并购置专用设备等固定资产，该项目支出都从学校教育发展专项资金支出，学校存在经费缺口，还有设施设备未完成采购。 </w:t>
      </w:r>
      <w:r>
        <w:rPr>
          <w:rFonts w:hint="eastAsia" w:ascii="楷体" w:hAnsi="楷体" w:eastAsia="楷体" w:cs="楷体"/>
          <w:b/>
          <w:color w:val="000000" w:themeColor="text1"/>
          <w:sz w:val="32"/>
          <w:szCs w:val="32"/>
          <w:highlight w:val="none"/>
          <w:lang w:val="en-US" w:eastAsia="zh-CN"/>
          <w14:textFill>
            <w14:solidFill>
              <w14:schemeClr w14:val="tx1"/>
            </w14:solidFill>
          </w14:textFill>
        </w:rPr>
        <w:t xml:space="preserve"> </w:t>
      </w:r>
    </w:p>
    <w:p>
      <w:pPr>
        <w:numPr>
          <w:ilvl w:val="0"/>
          <w:numId w:val="3"/>
        </w:numPr>
        <w:spacing w:line="578" w:lineRule="exact"/>
        <w:ind w:left="0" w:leftChars="0" w:firstLine="643" w:firstLineChars="2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财政评价项目绩效评价结果。</w:t>
      </w:r>
    </w:p>
    <w:p>
      <w:pPr>
        <w:spacing w:line="578" w:lineRule="exact"/>
        <w:ind w:firstLine="1280" w:firstLineChars="4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无。</w:t>
      </w:r>
    </w:p>
    <w:p>
      <w:pPr>
        <w:numPr>
          <w:ilvl w:val="0"/>
          <w:numId w:val="3"/>
        </w:numPr>
        <w:spacing w:line="578" w:lineRule="exact"/>
        <w:ind w:left="0" w:leftChars="0" w:firstLine="643" w:firstLineChars="2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楷体" w:hAnsi="楷体" w:eastAsia="楷体" w:cs="楷体"/>
          <w:b/>
          <w:color w:val="000000" w:themeColor="text1"/>
          <w:sz w:val="32"/>
          <w:szCs w:val="32"/>
          <w:highlight w:val="none"/>
          <w14:textFill>
            <w14:solidFill>
              <w14:schemeClr w14:val="tx1"/>
            </w14:solidFill>
          </w14:textFill>
        </w:rPr>
        <w:t>部门评价项目绩效评价结果。</w:t>
      </w:r>
    </w:p>
    <w:p>
      <w:pPr>
        <w:numPr>
          <w:ilvl w:val="0"/>
          <w:numId w:val="0"/>
        </w:numPr>
        <w:spacing w:line="578" w:lineRule="exact"/>
        <w:ind w:leftChars="200" w:firstLine="960" w:firstLineChars="300"/>
        <w:rPr>
          <w:rFonts w:hint="eastAsia" w:ascii="楷体" w:hAnsi="楷体" w:eastAsia="楷体" w:cs="楷体"/>
          <w:b/>
          <w:color w:val="000000" w:themeColor="text1"/>
          <w:sz w:val="32"/>
          <w:szCs w:val="32"/>
          <w:highlight w:val="none"/>
          <w14:textFill>
            <w14:solidFill>
              <w14:schemeClr w14:val="tx1"/>
            </w14:solidFill>
          </w14:textFill>
        </w:rPr>
      </w:pPr>
      <w:r>
        <w:rPr>
          <w:rFonts w:hint="eastAsia" w:ascii="仿宋_GB2312" w:hAnsi="Times New Roman" w:eastAsia="仿宋_GB2312" w:cs="Times New Roman"/>
          <w:sz w:val="32"/>
          <w:szCs w:val="32"/>
          <w:highlight w:val="none"/>
          <w:lang w:val="en-US" w:eastAsia="zh-CN"/>
        </w:rPr>
        <w:t>无。</w:t>
      </w:r>
    </w:p>
    <w:p>
      <w:pPr>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十</w:t>
      </w:r>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、其他重要事项情况说明。</w:t>
      </w:r>
    </w:p>
    <w:p>
      <w:pPr>
        <w:ind w:firstLine="643" w:firstLineChars="200"/>
        <w:rPr>
          <w:rFonts w:ascii="楷体" w:hAnsi="楷体" w:eastAsia="楷体" w:cs="楷体"/>
          <w:b/>
          <w:sz w:val="32"/>
          <w:szCs w:val="32"/>
        </w:rPr>
      </w:pPr>
      <w:bookmarkStart w:id="99" w:name="_Toc5978_WPSOffice_Level2"/>
      <w:bookmarkStart w:id="100" w:name="_Toc23598_WPSOffice_Level2"/>
      <w:bookmarkStart w:id="101" w:name="_Toc15565_WPSOffice_Level2"/>
      <w:bookmarkStart w:id="102" w:name="_Toc15262_WPSOffice_Level2"/>
      <w:bookmarkStart w:id="103" w:name="_Toc18325_WPSOffice_Level2"/>
      <w:bookmarkStart w:id="104" w:name="_Toc32639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ˎ̥" w:eastAsia="仿宋_GB2312" w:cs="Times New Roman"/>
          <w:sz w:val="32"/>
          <w:szCs w:val="32"/>
        </w:rPr>
      </w:pPr>
      <w:r>
        <w:rPr>
          <w:rFonts w:hint="eastAsia" w:ascii="仿宋_GB2312" w:hAnsi="ˎ̥" w:eastAsia="仿宋_GB2312" w:cs="Times New Roman"/>
          <w:color w:val="000000" w:themeColor="text1"/>
          <w:sz w:val="32"/>
          <w:szCs w:val="32"/>
          <w:lang w:eastAsia="zh-CN"/>
          <w14:textFill>
            <w14:solidFill>
              <w14:schemeClr w14:val="tx1"/>
            </w14:solidFill>
          </w14:textFill>
        </w:rPr>
        <w:t>202</w:t>
      </w:r>
      <w:r>
        <w:rPr>
          <w:rFonts w:hint="eastAsia" w:ascii="仿宋_GB2312" w:hAnsi="ˎ̥" w:eastAsia="仿宋_GB2312" w:cs="Times New Roman"/>
          <w:color w:val="000000" w:themeColor="text1"/>
          <w:sz w:val="32"/>
          <w:szCs w:val="32"/>
          <w:lang w:val="en-US" w:eastAsia="zh-CN"/>
          <w14:textFill>
            <w14:solidFill>
              <w14:schemeClr w14:val="tx1"/>
            </w14:solidFill>
          </w14:textFill>
        </w:rPr>
        <w:t>2</w:t>
      </w:r>
      <w:r>
        <w:rPr>
          <w:rFonts w:hint="eastAsia" w:ascii="仿宋_GB2312" w:hAnsi="ˎ̥" w:eastAsia="仿宋_GB2312" w:cs="Times New Roman"/>
          <w:color w:val="000000" w:themeColor="text1"/>
          <w:sz w:val="32"/>
          <w:szCs w:val="32"/>
          <w14:textFill>
            <w14:solidFill>
              <w14:schemeClr w14:val="tx1"/>
            </w14:solidFill>
          </w14:textFill>
        </w:rPr>
        <w:t>年度三亚市天涯区</w:t>
      </w:r>
      <w:r>
        <w:rPr>
          <w:rFonts w:hint="eastAsia" w:ascii="仿宋_GB2312" w:hAnsi="ˎ̥" w:eastAsia="仿宋_GB2312" w:cs="Times New Roman"/>
          <w:color w:val="000000" w:themeColor="text1"/>
          <w:sz w:val="32"/>
          <w:szCs w:val="32"/>
          <w:lang w:val="en-US" w:eastAsia="zh-CN"/>
          <w14:textFill>
            <w14:solidFill>
              <w14:schemeClr w14:val="tx1"/>
            </w14:solidFill>
          </w14:textFill>
        </w:rPr>
        <w:t>第五幼儿园</w:t>
      </w:r>
      <w:r>
        <w:rPr>
          <w:rFonts w:hint="eastAsia" w:ascii="仿宋_GB2312" w:hAnsi="ˎ̥" w:eastAsia="仿宋_GB2312" w:cs="Times New Roman"/>
          <w:color w:val="000000" w:themeColor="text1"/>
          <w:sz w:val="32"/>
          <w:szCs w:val="32"/>
          <w14:textFill>
            <w14:solidFill>
              <w14:schemeClr w14:val="tx1"/>
            </w14:solidFill>
          </w14:textFill>
        </w:rPr>
        <w:t>机关运行经费0万元。主要原因是：事业单位没</w:t>
      </w:r>
      <w:r>
        <w:rPr>
          <w:rFonts w:hint="eastAsia" w:ascii="仿宋_GB2312" w:hAnsi="ˎ̥" w:eastAsia="仿宋_GB2312" w:cs="Times New Roman"/>
          <w:sz w:val="32"/>
          <w:szCs w:val="32"/>
        </w:rPr>
        <w:t>有机关运行经费支出</w:t>
      </w:r>
    </w:p>
    <w:p>
      <w:pPr>
        <w:ind w:firstLine="643" w:firstLineChars="200"/>
        <w:rPr>
          <w:rFonts w:ascii="楷体" w:hAnsi="楷体" w:eastAsia="楷体" w:cs="楷体"/>
          <w:b/>
          <w:sz w:val="32"/>
          <w:szCs w:val="32"/>
        </w:rPr>
      </w:pPr>
      <w:bookmarkStart w:id="105" w:name="_Toc13084_WPSOffice_Level2"/>
      <w:bookmarkStart w:id="106" w:name="_Toc25333_WPSOffice_Level2"/>
      <w:bookmarkStart w:id="107" w:name="_Toc32689_WPSOffice_Level2"/>
      <w:bookmarkStart w:id="108" w:name="_Toc23966_WPSOffice_Level2"/>
      <w:bookmarkStart w:id="109" w:name="_Toc3131_WPSOffice_Level2"/>
      <w:bookmarkStart w:id="110" w:name="_Toc30383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ˎ̥" w:eastAsia="仿宋_GB2312" w:cs="Times New Roman"/>
          <w:color w:val="000000" w:themeColor="text1"/>
          <w:sz w:val="32"/>
          <w:szCs w:val="32"/>
          <w14:textFill>
            <w14:solidFill>
              <w14:schemeClr w14:val="tx1"/>
            </w14:solidFill>
          </w14:textFill>
        </w:rPr>
      </w:pPr>
      <w:r>
        <w:rPr>
          <w:rFonts w:hint="eastAsia" w:ascii="仿宋_GB2312" w:hAnsi="ˎ̥" w:eastAsia="仿宋_GB2312" w:cs="Times New Roman"/>
          <w:color w:val="000000" w:themeColor="text1"/>
          <w:sz w:val="32"/>
          <w:szCs w:val="32"/>
          <w:lang w:eastAsia="zh-CN"/>
          <w14:textFill>
            <w14:solidFill>
              <w14:schemeClr w14:val="tx1"/>
            </w14:solidFill>
          </w14:textFill>
        </w:rPr>
        <w:t>202</w:t>
      </w:r>
      <w:r>
        <w:rPr>
          <w:rFonts w:hint="eastAsia" w:ascii="仿宋_GB2312" w:hAnsi="ˎ̥" w:eastAsia="仿宋_GB2312" w:cs="Times New Roman"/>
          <w:color w:val="000000" w:themeColor="text1"/>
          <w:sz w:val="32"/>
          <w:szCs w:val="32"/>
          <w:lang w:val="en-US" w:eastAsia="zh-CN"/>
          <w14:textFill>
            <w14:solidFill>
              <w14:schemeClr w14:val="tx1"/>
            </w14:solidFill>
          </w14:textFill>
        </w:rPr>
        <w:t>2</w:t>
      </w:r>
      <w:r>
        <w:rPr>
          <w:rFonts w:hint="eastAsia" w:ascii="仿宋_GB2312" w:hAnsi="ˎ̥" w:eastAsia="仿宋_GB2312" w:cs="Times New Roman"/>
          <w:color w:val="000000" w:themeColor="text1"/>
          <w:sz w:val="32"/>
          <w:szCs w:val="32"/>
          <w14:textFill>
            <w14:solidFill>
              <w14:schemeClr w14:val="tx1"/>
            </w14:solidFill>
          </w14:textFill>
        </w:rPr>
        <w:t>年度三亚市天涯区</w:t>
      </w:r>
      <w:r>
        <w:rPr>
          <w:rFonts w:hint="eastAsia" w:ascii="仿宋_GB2312" w:hAnsi="ˎ̥" w:eastAsia="仿宋_GB2312" w:cs="Times New Roman"/>
          <w:color w:val="000000" w:themeColor="text1"/>
          <w:sz w:val="32"/>
          <w:szCs w:val="32"/>
          <w:lang w:val="en-US" w:eastAsia="zh-CN"/>
          <w14:textFill>
            <w14:solidFill>
              <w14:schemeClr w14:val="tx1"/>
            </w14:solidFill>
          </w14:textFill>
        </w:rPr>
        <w:t>第五幼儿园</w:t>
      </w:r>
      <w:r>
        <w:rPr>
          <w:rFonts w:hint="eastAsia" w:ascii="仿宋_GB2312" w:hAnsi="ˎ̥" w:eastAsia="仿宋_GB2312" w:cs="Times New Roman"/>
          <w:color w:val="000000" w:themeColor="text1"/>
          <w:sz w:val="32"/>
          <w:szCs w:val="32"/>
          <w14:textFill>
            <w14:solidFill>
              <w14:schemeClr w14:val="tx1"/>
            </w14:solidFill>
          </w14:textFill>
        </w:rPr>
        <w:t>政府采购支出总额</w:t>
      </w:r>
      <w:r>
        <w:rPr>
          <w:rFonts w:hint="eastAsia" w:ascii="仿宋_GB2312" w:hAnsi="ˎ̥" w:eastAsia="仿宋_GB2312" w:cs="Times New Roman"/>
          <w:color w:val="000000" w:themeColor="text1"/>
          <w:sz w:val="32"/>
          <w:szCs w:val="32"/>
          <w:lang w:val="en-US" w:eastAsia="zh-CN"/>
          <w14:textFill>
            <w14:solidFill>
              <w14:schemeClr w14:val="tx1"/>
            </w14:solidFill>
          </w14:textFill>
        </w:rPr>
        <w:t>0万</w:t>
      </w:r>
      <w:r>
        <w:rPr>
          <w:rFonts w:hint="eastAsia" w:ascii="仿宋_GB2312" w:hAnsi="ˎ̥" w:eastAsia="仿宋_GB2312" w:cs="Times New Roman"/>
          <w:color w:val="000000" w:themeColor="text1"/>
          <w:sz w:val="32"/>
          <w:szCs w:val="32"/>
          <w14:textFill>
            <w14:solidFill>
              <w14:schemeClr w14:val="tx1"/>
            </w14:solidFill>
          </w14:textFill>
        </w:rPr>
        <w:t>元。</w:t>
      </w:r>
    </w:p>
    <w:p>
      <w:pPr>
        <w:ind w:firstLine="643" w:firstLineChars="200"/>
        <w:rPr>
          <w:rFonts w:ascii="楷体" w:hAnsi="楷体" w:eastAsia="楷体" w:cs="楷体"/>
          <w:b/>
          <w:sz w:val="32"/>
          <w:szCs w:val="32"/>
        </w:rPr>
      </w:pPr>
      <w:bookmarkStart w:id="111" w:name="_Toc19989_WPSOffice_Level2"/>
      <w:bookmarkStart w:id="112" w:name="_Toc15129_WPSOffice_Level2"/>
      <w:bookmarkStart w:id="113" w:name="_Toc6016_WPSOffice_Level2"/>
      <w:bookmarkStart w:id="114" w:name="_Toc10902_WPSOffice_Level2"/>
      <w:bookmarkStart w:id="115" w:name="_Toc29584_WPSOffice_Level2"/>
      <w:bookmarkStart w:id="116" w:name="_Toc527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ˎ̥" w:eastAsia="仿宋_GB2312" w:cs="Times New Roman"/>
          <w:color w:val="000000" w:themeColor="text1"/>
          <w:sz w:val="32"/>
          <w:szCs w:val="32"/>
          <w:highlight w:val="yellow"/>
          <w14:textFill>
            <w14:solidFill>
              <w14:schemeClr w14:val="tx1"/>
            </w14:solidFill>
          </w14:textFill>
        </w:rPr>
      </w:pPr>
      <w:r>
        <w:rPr>
          <w:rFonts w:hint="eastAsia" w:ascii="仿宋_GB2312" w:hAnsi="ˎ̥" w:eastAsia="仿宋_GB2312" w:cs="Times New Roman"/>
          <w:color w:val="000000" w:themeColor="text1"/>
          <w:sz w:val="32"/>
          <w:szCs w:val="32"/>
          <w:highlight w:val="none"/>
          <w14:textFill>
            <w14:solidFill>
              <w14:schemeClr w14:val="tx1"/>
            </w14:solidFill>
          </w14:textFill>
        </w:rPr>
        <w:t>截至</w:t>
      </w:r>
      <w:r>
        <w:rPr>
          <w:rFonts w:hint="eastAsia" w:ascii="仿宋_GB2312" w:hAnsi="ˎ̥" w:eastAsia="仿宋_GB2312" w:cs="Times New Roman"/>
          <w:color w:val="000000" w:themeColor="text1"/>
          <w:sz w:val="32"/>
          <w:szCs w:val="32"/>
          <w:highlight w:val="none"/>
          <w:lang w:eastAsia="zh-CN"/>
          <w14:textFill>
            <w14:solidFill>
              <w14:schemeClr w14:val="tx1"/>
            </w14:solidFill>
          </w14:textFill>
        </w:rPr>
        <w:t>202</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2</w:t>
      </w:r>
      <w:r>
        <w:rPr>
          <w:rFonts w:hint="eastAsia" w:ascii="仿宋_GB2312" w:hAnsi="ˎ̥" w:eastAsia="仿宋_GB2312" w:cs="Times New Roman"/>
          <w:color w:val="000000" w:themeColor="text1"/>
          <w:sz w:val="32"/>
          <w:szCs w:val="32"/>
          <w:highlight w:val="none"/>
          <w14:textFill>
            <w14:solidFill>
              <w14:schemeClr w14:val="tx1"/>
            </w14:solidFill>
          </w14:textFill>
        </w:rPr>
        <w:t>年12月31日，本部门占用房屋面积</w:t>
      </w:r>
      <w:r>
        <w:rPr>
          <w:rFonts w:hint="eastAsia" w:ascii="仿宋_GB2312" w:hAnsi="ˎ̥" w:eastAsia="仿宋_GB2312" w:cs="Times New Roman"/>
          <w:color w:val="000000" w:themeColor="text1"/>
          <w:sz w:val="32"/>
          <w:szCs w:val="32"/>
          <w:highlight w:val="none"/>
          <w:lang w:val="en-US" w:eastAsia="zh-CN"/>
          <w14:textFill>
            <w14:solidFill>
              <w14:schemeClr w14:val="tx1"/>
            </w14:solidFill>
          </w14:textFill>
        </w:rPr>
        <w:t>12</w:t>
      </w:r>
      <w:r>
        <w:rPr>
          <w:rFonts w:hint="eastAsia" w:ascii="仿宋_GB2312" w:hAnsi="ˎ̥" w:eastAsia="仿宋_GB2312" w:cs="Times New Roman"/>
          <w:color w:val="000000" w:themeColor="text1"/>
          <w:sz w:val="32"/>
          <w:szCs w:val="32"/>
          <w:highlight w:val="none"/>
          <w14:textFill>
            <w14:solidFill>
              <w14:schemeClr w14:val="tx1"/>
            </w14:solidFill>
          </w14:textFill>
        </w:rPr>
        <w:t>平方米，其中：</w:t>
      </w:r>
      <w:r>
        <w:rPr>
          <w:rFonts w:hint="eastAsia" w:ascii="仿宋_GB2312" w:hAnsi="ˎ̥" w:eastAsia="仿宋_GB2312" w:cs="Times New Roman"/>
          <w:color w:val="000000" w:themeColor="text1"/>
          <w:sz w:val="32"/>
          <w:szCs w:val="32"/>
          <w14:textFill>
            <w14:solidFill>
              <w14:schemeClr w14:val="tx1"/>
            </w14:solidFill>
          </w14:textFill>
        </w:rPr>
        <w:t>办公用房</w:t>
      </w:r>
      <w:r>
        <w:rPr>
          <w:rFonts w:hint="eastAsia" w:ascii="仿宋_GB2312" w:hAnsi="ˎ̥" w:eastAsia="仿宋_GB2312" w:cs="Times New Roman"/>
          <w:color w:val="000000" w:themeColor="text1"/>
          <w:sz w:val="32"/>
          <w:szCs w:val="32"/>
          <w:lang w:val="en-US" w:eastAsia="zh-CN"/>
          <w14:textFill>
            <w14:solidFill>
              <w14:schemeClr w14:val="tx1"/>
            </w14:solidFill>
          </w14:textFill>
        </w:rPr>
        <w:t>0</w:t>
      </w:r>
      <w:r>
        <w:rPr>
          <w:rFonts w:hint="eastAsia" w:ascii="仿宋_GB2312" w:hAnsi="ˎ̥" w:eastAsia="仿宋_GB2312" w:cs="Times New Roman"/>
          <w:color w:val="000000" w:themeColor="text1"/>
          <w:sz w:val="32"/>
          <w:szCs w:val="32"/>
          <w14:textFill>
            <w14:solidFill>
              <w14:schemeClr w14:val="tx1"/>
            </w14:solidFill>
          </w14:textFill>
        </w:rPr>
        <w:t>平方米，业务用房</w:t>
      </w:r>
      <w:r>
        <w:rPr>
          <w:rFonts w:hint="eastAsia" w:ascii="仿宋_GB2312" w:hAnsi="ˎ̥" w:eastAsia="仿宋_GB2312" w:cs="Times New Roman"/>
          <w:color w:val="000000" w:themeColor="text1"/>
          <w:sz w:val="32"/>
          <w:szCs w:val="32"/>
          <w:lang w:val="en-US" w:eastAsia="zh-CN"/>
          <w14:textFill>
            <w14:solidFill>
              <w14:schemeClr w14:val="tx1"/>
            </w14:solidFill>
          </w14:textFill>
        </w:rPr>
        <w:t>12</w:t>
      </w:r>
      <w:r>
        <w:rPr>
          <w:rFonts w:hint="eastAsia" w:ascii="仿宋_GB2312" w:hAnsi="ˎ̥" w:eastAsia="仿宋_GB2312" w:cs="Times New Roman"/>
          <w:color w:val="000000" w:themeColor="text1"/>
          <w:sz w:val="32"/>
          <w:szCs w:val="32"/>
          <w14:textFill>
            <w14:solidFill>
              <w14:schemeClr w14:val="tx1"/>
            </w14:solidFill>
          </w14:textFill>
        </w:rPr>
        <w:t>平方米，其他（不含构筑物）0平方米。</w:t>
      </w:r>
    </w:p>
    <w:p>
      <w:pPr>
        <w:spacing w:line="578" w:lineRule="exact"/>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本部门共有车辆0辆，其中：从车辆种类说明：轿车0辆、越野车0辆、小型载客汽车0辆、大中型载客汽车辆、其他车型0辆；从车辆使用情况说明：副部（省）级及以上领导用车0辆、主要领导干部用车0辆、机要通信用车0辆、应急保障用车0辆、执法执勤用车0辆、特种专业技术用车0辆、离退休干部用车0辆、其他用车0辆。</w:t>
      </w:r>
    </w:p>
    <w:p>
      <w:pPr>
        <w:spacing w:line="578" w:lineRule="exact"/>
        <w:ind w:firstLine="640" w:firstLineChars="200"/>
        <w:rPr>
          <w:rFonts w:ascii="仿宋_GB2312" w:hAnsi="ˎ̥" w:eastAsia="仿宋_GB2312" w:cs="Times New Roman"/>
          <w:sz w:val="32"/>
          <w:szCs w:val="32"/>
        </w:rPr>
      </w:pPr>
      <w:r>
        <w:rPr>
          <w:rFonts w:hint="eastAsia" w:ascii="仿宋_GB2312" w:hAnsi="ˎ̥" w:eastAsia="仿宋_GB2312" w:cs="Times New Roman"/>
          <w:sz w:val="32"/>
          <w:szCs w:val="32"/>
        </w:rPr>
        <w:t>单位价值50万元（含）以上通用设备0台（套），单价100万元（含）以上专用设备0台（套）。</w:t>
      </w:r>
    </w:p>
    <w:p>
      <w:pPr>
        <w:spacing w:line="578" w:lineRule="exact"/>
        <w:ind w:firstLine="640" w:firstLineChars="200"/>
        <w:rPr>
          <w:rFonts w:hint="eastAsia" w:ascii="仿宋_GB2312" w:hAnsi="ˎ̥" w:eastAsia="仿宋_GB2312" w:cs="Times New Roman"/>
          <w:sz w:val="32"/>
          <w:szCs w:val="32"/>
        </w:rPr>
      </w:pPr>
      <w:r>
        <w:rPr>
          <w:rFonts w:hint="eastAsia" w:ascii="仿宋_GB2312" w:hAnsi="ˎ̥" w:eastAsia="仿宋_GB2312" w:cs="Times New Roman"/>
          <w:sz w:val="32"/>
          <w:szCs w:val="32"/>
        </w:rPr>
        <w:t>年末在建工程0万元。</w:t>
      </w: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ind w:firstLine="640" w:firstLineChars="200"/>
        <w:rPr>
          <w:rFonts w:hint="eastAsia" w:ascii="仿宋_GB2312" w:hAnsi="ˎ̥" w:eastAsia="仿宋_GB2312" w:cs="Times New Roman"/>
          <w:sz w:val="32"/>
          <w:szCs w:val="32"/>
        </w:rPr>
      </w:pPr>
    </w:p>
    <w:p>
      <w:pPr>
        <w:spacing w:line="578" w:lineRule="exact"/>
        <w:rPr>
          <w:rFonts w:hint="eastAsia" w:ascii="仿宋_GB2312" w:hAnsi="ˎ̥" w:eastAsia="仿宋_GB2312" w:cs="Times New Roman"/>
          <w:sz w:val="32"/>
          <w:szCs w:val="32"/>
        </w:rPr>
      </w:pPr>
    </w:p>
    <w:p>
      <w:pPr>
        <w:jc w:val="center"/>
        <w:rPr>
          <w:rFonts w:hint="eastAsia" w:ascii="黑体" w:hAnsi="ˎ̥" w:eastAsia="黑体"/>
          <w:color w:val="0D0D0D" w:themeColor="text1" w:themeTint="F2"/>
          <w:sz w:val="32"/>
          <w:szCs w:val="32"/>
          <w:u w:color="000000" w:themeColor="text1"/>
          <w:lang w:eastAsia="zh-CN"/>
          <w14:textFill>
            <w14:solidFill>
              <w14:schemeClr w14:val="tx1">
                <w14:lumMod w14:val="95000"/>
                <w14:lumOff w14:val="5000"/>
              </w14:schemeClr>
            </w14:solidFill>
          </w14:textFill>
        </w:rPr>
      </w:pPr>
    </w:p>
    <w:p>
      <w:pPr>
        <w:jc w:val="center"/>
        <w:rPr>
          <w:rFonts w:hint="eastAsia" w:ascii="黑体" w:hAnsi="ˎ̥" w:eastAsia="黑体"/>
          <w:color w:val="0D0D0D" w:themeColor="text1" w:themeTint="F2"/>
          <w:sz w:val="32"/>
          <w:szCs w:val="32"/>
          <w:u w:color="000000" w:themeColor="text1"/>
          <w:lang w:eastAsia="zh-CN"/>
          <w14:textFill>
            <w14:solidFill>
              <w14:schemeClr w14:val="tx1">
                <w14:lumMod w14:val="95000"/>
                <w14:lumOff w14:val="5000"/>
              </w14:schemeClr>
            </w14:solidFill>
          </w14:textFill>
        </w:rPr>
      </w:pPr>
    </w:p>
    <w:p>
      <w:pPr>
        <w:jc w:val="center"/>
        <w:rPr>
          <w:rFonts w:hint="eastAsia" w:ascii="黑体" w:hAnsi="ˎ̥" w:eastAsia="黑体"/>
          <w:color w:val="0D0D0D" w:themeColor="text1" w:themeTint="F2"/>
          <w:sz w:val="32"/>
          <w:szCs w:val="32"/>
          <w:u w:color="000000" w:themeColor="text1"/>
          <w:lang w:eastAsia="zh-CN"/>
          <w14:textFill>
            <w14:solidFill>
              <w14:schemeClr w14:val="tx1">
                <w14:lumMod w14:val="95000"/>
                <w14:lumOff w14:val="5000"/>
              </w14:schemeClr>
            </w14:solidFill>
          </w14:textFill>
        </w:rPr>
      </w:pPr>
    </w:p>
    <w:p>
      <w:pPr>
        <w:jc w:val="center"/>
        <w:rPr>
          <w:rFonts w:hint="eastAsia" w:ascii="黑体" w:hAnsi="ˎ̥" w:eastAsia="黑体"/>
          <w:color w:val="0D0D0D" w:themeColor="text1" w:themeTint="F2"/>
          <w:sz w:val="32"/>
          <w:szCs w:val="32"/>
          <w:u w:color="000000" w:themeColor="text1"/>
          <w:lang w:eastAsia="zh-CN"/>
          <w14:textFill>
            <w14:solidFill>
              <w14:schemeClr w14:val="tx1">
                <w14:lumMod w14:val="95000"/>
                <w14:lumOff w14:val="5000"/>
              </w14:schemeClr>
            </w14:solidFill>
          </w14:textFill>
        </w:rPr>
      </w:pPr>
    </w:p>
    <w:p>
      <w:pPr>
        <w:jc w:val="center"/>
        <w:rPr>
          <w:rFonts w:hint="eastAsia" w:ascii="黑体" w:hAnsi="ˎ̥" w:eastAsia="黑体"/>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黑体" w:hAnsi="ˎ̥" w:eastAsia="黑体"/>
          <w:color w:val="0D0D0D" w:themeColor="text1" w:themeTint="F2"/>
          <w:sz w:val="32"/>
          <w:szCs w:val="32"/>
          <w:u w:color="000000" w:themeColor="text1"/>
          <w:lang w:eastAsia="zh-CN"/>
          <w14:textFill>
            <w14:solidFill>
              <w14:schemeClr w14:val="tx1">
                <w14:lumMod w14:val="95000"/>
                <w14:lumOff w14:val="5000"/>
              </w14:schemeClr>
            </w14:solidFill>
          </w14:textFill>
        </w:rPr>
        <w:t>第四部分</w:t>
      </w:r>
      <w:r>
        <w:rPr>
          <w:rFonts w:hint="eastAsia" w:ascii="黑体" w:hAnsi="ˎ̥" w:eastAsia="黑体"/>
          <w:color w:val="0D0D0D" w:themeColor="text1" w:themeTint="F2"/>
          <w:sz w:val="32"/>
          <w:szCs w:val="32"/>
          <w:u w:color="000000" w:themeColor="text1"/>
          <w:lang w:val="en-US" w:eastAsia="zh-CN"/>
          <w14:textFill>
            <w14:solidFill>
              <w14:schemeClr w14:val="tx1">
                <w14:lumMod w14:val="95000"/>
                <w14:lumOff w14:val="5000"/>
              </w14:schemeClr>
            </w14:solidFill>
          </w14:textFill>
        </w:rPr>
        <w:t xml:space="preserve">  </w:t>
      </w:r>
      <w:r>
        <w:rPr>
          <w:rFonts w:hint="eastAsia" w:ascii="黑体" w:hAnsi="ˎ̥" w:eastAsia="黑体"/>
          <w:color w:val="0D0D0D" w:themeColor="text1" w:themeTint="F2"/>
          <w:sz w:val="32"/>
          <w:szCs w:val="32"/>
          <w:u w:color="000000" w:themeColor="text1"/>
          <w14:textFill>
            <w14:solidFill>
              <w14:schemeClr w14:val="tx1">
                <w14:lumMod w14:val="95000"/>
                <w14:lumOff w14:val="5000"/>
              </w14:schemeClr>
            </w14:solidFill>
          </w14:textFill>
        </w:rPr>
        <w:t>名词解释</w:t>
      </w:r>
    </w:p>
    <w:p>
      <w:pPr>
        <w:numPr>
          <w:ilvl w:val="0"/>
          <w:numId w:val="4"/>
        </w:num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财政拨款收入：指</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同</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级</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政府财政部门</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当年拨付的</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各类财政拨款</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二、上级补助收入：指事业单位从主管部门和上级单位取得的非财政补助收入。</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三、</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事业收入：指事业单位开展专业业务活动及辅助活动取得的收入。</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四、</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经营收入：指事业单位在专业业务活动及其辅助活动之外开展非独立核算经营活动取得的收入。</w:t>
      </w:r>
    </w:p>
    <w:p>
      <w:pPr>
        <w:ind w:firstLine="640" w:firstLineChars="200"/>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五、附属单位上缴收入：指事业单位取得附属独立核算单位根据有关规定上缴的收入。</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六、</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其他收入：指除上述“财政拨款收入”“事业收入”</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“上级补助收入”</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“经营收入”</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“附属单位上缴收入”</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等以外的收入。</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七、</w:t>
      </w:r>
      <w:r>
        <w:rPr>
          <w:rFonts w:hint="eastAsia" w:ascii="仿宋_GB2312" w:hAnsi="ˎ̥" w:eastAsia="仿宋_GB2312"/>
          <w:color w:val="0D0D0D" w:themeColor="text1" w:themeTint="F2"/>
          <w:sz w:val="32"/>
          <w:szCs w:val="32"/>
          <w:highlight w:val="none"/>
          <w:u w:color="000000" w:themeColor="text1"/>
          <w:lang w:eastAsia="zh-CN"/>
          <w14:textFill>
            <w14:solidFill>
              <w14:schemeClr w14:val="tx1">
                <w14:lumMod w14:val="95000"/>
                <w14:lumOff w14:val="5000"/>
              </w14:schemeClr>
            </w14:solidFill>
          </w14:textFill>
        </w:rPr>
        <w:t>使用非财政拨款结余</w:t>
      </w:r>
      <w:r>
        <w:rPr>
          <w:rFonts w:hint="eastAsia" w:ascii="仿宋_GB2312" w:hAnsi="ˎ̥" w:eastAsia="仿宋_GB2312"/>
          <w:color w:val="0D0D0D" w:themeColor="text1" w:themeTint="F2"/>
          <w:sz w:val="32"/>
          <w:szCs w:val="32"/>
          <w:highlight w:val="none"/>
          <w:u w:color="000000" w:themeColor="text1"/>
          <w14:textFill>
            <w14:solidFill>
              <w14:schemeClr w14:val="tx1">
                <w14:lumMod w14:val="95000"/>
                <w14:lumOff w14:val="5000"/>
              </w14:schemeClr>
            </w14:solidFill>
          </w14:textFill>
        </w:rPr>
        <w:t>：指事业单位在当年的“财政拨款收入”“事业收入”“经营收入”“其他收入”</w:t>
      </w:r>
      <w:r>
        <w:rPr>
          <w:rFonts w:hint="eastAsia" w:ascii="仿宋_GB2312" w:hAnsi="ˎ̥" w:eastAsia="仿宋_GB2312"/>
          <w:color w:val="0D0D0D" w:themeColor="text1" w:themeTint="F2"/>
          <w:sz w:val="32"/>
          <w:szCs w:val="32"/>
          <w:highlight w:val="none"/>
          <w:u w:color="000000" w:themeColor="text1"/>
          <w:lang w:eastAsia="zh-CN"/>
          <w14:textFill>
            <w14:solidFill>
              <w14:schemeClr w14:val="tx1">
                <w14:lumMod w14:val="95000"/>
                <w14:lumOff w14:val="5000"/>
              </w14:schemeClr>
            </w14:solidFill>
          </w14:textFill>
        </w:rPr>
        <w:t>等</w:t>
      </w:r>
      <w:r>
        <w:rPr>
          <w:rFonts w:hint="eastAsia" w:ascii="仿宋_GB2312" w:hAnsi="ˎ̥" w:eastAsia="仿宋_GB2312"/>
          <w:color w:val="0D0D0D" w:themeColor="text1" w:themeTint="F2"/>
          <w:sz w:val="32"/>
          <w:szCs w:val="32"/>
          <w:highlight w:val="none"/>
          <w:u w:color="000000" w:themeColor="text1"/>
          <w14:textFill>
            <w14:solidFill>
              <w14:schemeClr w14:val="tx1">
                <w14:lumMod w14:val="95000"/>
                <w14:lumOff w14:val="5000"/>
              </w14:schemeClr>
            </w14:solidFill>
          </w14:textFill>
        </w:rPr>
        <w:t>不足以安排当年支出的情况下，使</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用以前年度积累的</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非限定用途的非同级财政拨款结余资金弥补本年度收支缺口。</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八、</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年初结转和结余：指以前年度尚未完成、结转到本年按有关规定继续使用的资金。</w:t>
      </w:r>
    </w:p>
    <w:p>
      <w:pPr>
        <w:ind w:firstLine="640" w:firstLineChars="200"/>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highlight w:val="none"/>
          <w:u w:color="000000" w:themeColor="text1"/>
          <w:lang w:eastAsia="zh-CN"/>
          <w14:textFill>
            <w14:solidFill>
              <w14:schemeClr w14:val="tx1">
                <w14:lumMod w14:val="95000"/>
                <w14:lumOff w14:val="5000"/>
              </w14:schemeClr>
            </w14:solidFill>
          </w14:textFill>
        </w:rPr>
        <w:t>九、</w:t>
      </w:r>
      <w:r>
        <w:rPr>
          <w:rFonts w:hint="eastAsia" w:ascii="仿宋_GB2312" w:hAnsi="ˎ̥" w:eastAsia="仿宋_GB2312"/>
          <w:color w:val="0D0D0D" w:themeColor="text1" w:themeTint="F2"/>
          <w:sz w:val="32"/>
          <w:szCs w:val="32"/>
          <w:highlight w:val="none"/>
          <w:u w:color="000000" w:themeColor="text1"/>
          <w14:textFill>
            <w14:solidFill>
              <w14:schemeClr w14:val="tx1">
                <w14:lumMod w14:val="95000"/>
                <w14:lumOff w14:val="5000"/>
              </w14:schemeClr>
            </w14:solidFill>
          </w14:textFill>
        </w:rPr>
        <w:t>结余分配：指</w:t>
      </w:r>
      <w:r>
        <w:rPr>
          <w:rFonts w:hint="eastAsia" w:ascii="仿宋_GB2312" w:hAnsi="ˎ̥" w:eastAsia="仿宋_GB2312"/>
          <w:color w:val="0D0D0D" w:themeColor="text1" w:themeTint="F2"/>
          <w:sz w:val="32"/>
          <w:szCs w:val="32"/>
          <w:highlight w:val="none"/>
          <w:u w:color="000000" w:themeColor="text1"/>
          <w:lang w:eastAsia="zh-CN"/>
          <w14:textFill>
            <w14:solidFill>
              <w14:schemeClr w14:val="tx1">
                <w14:lumMod w14:val="95000"/>
                <w14:lumOff w14:val="5000"/>
              </w14:schemeClr>
            </w14:solidFill>
          </w14:textFill>
        </w:rPr>
        <w:t>事业</w:t>
      </w:r>
      <w:r>
        <w:rPr>
          <w:rFonts w:hint="eastAsia" w:ascii="仿宋_GB2312" w:hAnsi="ˎ̥" w:eastAsia="仿宋_GB2312" w:cs="Times New Roman"/>
          <w:color w:val="0D0D0D" w:themeColor="text1" w:themeTint="F2"/>
          <w:sz w:val="32"/>
          <w:szCs w:val="32"/>
          <w:u w:color="000000" w:themeColor="text1"/>
          <w:lang w:eastAsia="zh-CN"/>
          <w14:textFill>
            <w14:solidFill>
              <w14:schemeClr w14:val="tx1">
                <w14:lumMod w14:val="95000"/>
                <w14:lumOff w14:val="5000"/>
              </w14:schemeClr>
            </w14:solidFill>
          </w14:textFill>
        </w:rPr>
        <w:t>单位缴纳企业所得税以及从非财政拨款结余或经营结余中提取各类结余的情况。</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年末结转和结余：指本年度或以前年度预算安排、因客观条件发生变化无法按原计划实施，需要延迟到以后年度按有关规定继续使用的资金</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w:t>
      </w:r>
      <w:r>
        <w:rPr>
          <w:rFonts w:hint="eastAsia" w:ascii="仿宋_GB2312" w:hAnsi="ˎ̥" w:eastAsia="仿宋_GB2312" w:cs="Times New Roman"/>
          <w:color w:val="0D0D0D" w:themeColor="text1" w:themeTint="F2"/>
          <w:sz w:val="32"/>
          <w:szCs w:val="32"/>
          <w:u w:color="000000" w:themeColor="text1"/>
          <w:lang w:eastAsia="zh-CN"/>
          <w14:textFill>
            <w14:solidFill>
              <w14:schemeClr w14:val="tx1">
                <w14:lumMod w14:val="95000"/>
                <w14:lumOff w14:val="5000"/>
              </w14:schemeClr>
            </w14:solidFill>
          </w14:textFill>
        </w:rPr>
        <w:t>不包括事业单位非财政拨款结余和专用结余</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十一、</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基本支出：指为保障机构正常运转、完成日常工作任务而发生的人员支出和公用支出。</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二、</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项目支出：指在基本支出之外为完成特定行政任务和事业发展目标所发生的支出。</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三、</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经营支出：指事业单位在专业业务活动及其辅助活动之外开展非独立核算经营活动发生的支出。</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四、</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“三公”经费：纳入本级财政预决算管理的“三公”经费，是指用一般公共预算财政财政拨款</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、政府性基金</w:t>
      </w:r>
      <w:r>
        <w:rPr>
          <w:rFonts w:hint="eastAsia" w:ascii="仿宋_GB2312" w:hAnsi="ˎ̥" w:eastAsia="仿宋_GB2312" w:cs="Times New Roman"/>
          <w:b w:val="0"/>
          <w:bCs w:val="0"/>
          <w:color w:val="0D0D0D" w:themeColor="text1" w:themeTint="F2"/>
          <w:sz w:val="32"/>
          <w:szCs w:val="32"/>
          <w:u w:color="000000" w:themeColor="text1"/>
          <w14:textFill>
            <w14:solidFill>
              <w14:schemeClr w14:val="tx1">
                <w14:lumMod w14:val="95000"/>
                <w14:lumOff w14:val="5000"/>
              </w14:schemeClr>
            </w14:solidFill>
          </w14:textFill>
        </w:rPr>
        <w:t>预算财政拨款</w:t>
      </w:r>
      <w:r>
        <w:rPr>
          <w:rFonts w:hint="eastAsia" w:ascii="仿宋_GB2312" w:hAnsi="ˎ̥" w:eastAsia="仿宋_GB2312" w:cs="Times New Roman"/>
          <w:b w:val="0"/>
          <w:bCs w:val="0"/>
          <w:color w:val="0D0D0D" w:themeColor="text1" w:themeTint="F2"/>
          <w:sz w:val="32"/>
          <w:szCs w:val="32"/>
          <w:u w:color="000000" w:themeColor="text1"/>
          <w:lang w:eastAsia="zh-CN"/>
          <w14:textFill>
            <w14:solidFill>
              <w14:schemeClr w14:val="tx1">
                <w14:lumMod w14:val="95000"/>
                <w14:lumOff w14:val="5000"/>
              </w14:schemeClr>
            </w14:solidFill>
          </w14:textFill>
        </w:rPr>
        <w:t>及国有资本经营预算财政拨款</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安排的因公出国（境）费、公务用车购置及运行</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维护</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费和公务接待费。其中，因公出国（境）费反映单位公务出国（境）的国际旅费、国外城市间交通费、住宿费、伙食费、培训费、公杂费等支出；公务用车购置及运行</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维护</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费反映单位公务用车车辆购置支出（含车辆购置税</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、牌照费</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）及燃料费、维修费、过路过桥费、保险费、安全奖励费用等支出；公务接待费反映单位按规定开支的各类公务接待（含外宾接待）</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费用</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w:t>
      </w:r>
    </w:p>
    <w:p>
      <w:pPr>
        <w:ind w:firstLine="645"/>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五</w:t>
      </w:r>
      <w:r>
        <w:rPr>
          <w:rFonts w:hint="eastAsia" w:ascii="仿宋_GB2312" w:hAnsi="ˎ̥" w:eastAsia="仿宋_GB2312"/>
          <w:color w:val="0D0D0D" w:themeColor="text1" w:themeTint="F2"/>
          <w:sz w:val="32"/>
          <w:szCs w:val="32"/>
          <w:u w:color="000000" w:themeColor="text1"/>
          <w:lang w:val="en-US" w:eastAsia="zh-CN"/>
          <w14:textFill>
            <w14:solidFill>
              <w14:schemeClr w14:val="tx1">
                <w14:lumMod w14:val="95000"/>
                <w14:lumOff w14:val="5000"/>
              </w14:schemeClr>
            </w14:solidFill>
          </w14:textFill>
        </w:rPr>
        <w:t>、</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机关运行经费：为保障行政单位（含参照公务员法管理的事业单位）运行</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使用</w:t>
      </w:r>
      <w:r>
        <w:rPr>
          <w:rFonts w:hint="eastAsia" w:ascii="仿宋_GB2312" w:hAnsi="ˎ̥" w:eastAsia="仿宋_GB2312" w:cs="Times New Roman"/>
          <w:color w:val="0D0D0D" w:themeColor="text1" w:themeTint="F2"/>
          <w:sz w:val="32"/>
          <w:szCs w:val="32"/>
          <w:u w:color="000000" w:themeColor="text1"/>
          <w:lang w:eastAsia="zh-CN"/>
          <w14:textFill>
            <w14:solidFill>
              <w14:schemeClr w14:val="tx1">
                <w14:lumMod w14:val="95000"/>
                <w14:lumOff w14:val="5000"/>
              </w14:schemeClr>
            </w14:solidFill>
          </w14:textFill>
        </w:rPr>
        <w:t>一般公共预算财政拨款安排的基本支出经费</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等</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w:t>
      </w:r>
    </w:p>
    <w:p>
      <w:pPr>
        <w:ind w:firstLine="420" w:firstLineChars="200"/>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decorative"/>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
    <w:altName w:val="Times New Roman"/>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A86A44"/>
    <w:multiLevelType w:val="singleLevel"/>
    <w:tmpl w:val="91A86A44"/>
    <w:lvl w:ilvl="0" w:tentative="0">
      <w:start w:val="2"/>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3DF409D1"/>
    <w:multiLevelType w:val="singleLevel"/>
    <w:tmpl w:val="3DF409D1"/>
    <w:lvl w:ilvl="0" w:tentative="0">
      <w:start w:val="1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MjI5ZjI4MmJkMGNkNWM2MDg5MDEwNDcxNmM3NWMifQ=="/>
  </w:docVars>
  <w:rsids>
    <w:rsidRoot w:val="00D32ACE"/>
    <w:rsid w:val="000819F9"/>
    <w:rsid w:val="000C0FC3"/>
    <w:rsid w:val="000C3289"/>
    <w:rsid w:val="00165BA4"/>
    <w:rsid w:val="001A7613"/>
    <w:rsid w:val="001B54A0"/>
    <w:rsid w:val="002102AF"/>
    <w:rsid w:val="00240B5C"/>
    <w:rsid w:val="00243D65"/>
    <w:rsid w:val="002F2B57"/>
    <w:rsid w:val="00345463"/>
    <w:rsid w:val="003528F1"/>
    <w:rsid w:val="003F0D1A"/>
    <w:rsid w:val="00457F19"/>
    <w:rsid w:val="0047528A"/>
    <w:rsid w:val="004923AD"/>
    <w:rsid w:val="004A5298"/>
    <w:rsid w:val="004B343D"/>
    <w:rsid w:val="004D0B4C"/>
    <w:rsid w:val="00510FB7"/>
    <w:rsid w:val="00527033"/>
    <w:rsid w:val="00574D29"/>
    <w:rsid w:val="005E4604"/>
    <w:rsid w:val="005E4790"/>
    <w:rsid w:val="005E5712"/>
    <w:rsid w:val="00617E25"/>
    <w:rsid w:val="006E30C2"/>
    <w:rsid w:val="006F2EC3"/>
    <w:rsid w:val="00780C83"/>
    <w:rsid w:val="007876F5"/>
    <w:rsid w:val="00877D96"/>
    <w:rsid w:val="00880C2C"/>
    <w:rsid w:val="008D3791"/>
    <w:rsid w:val="00914ABF"/>
    <w:rsid w:val="00930AC0"/>
    <w:rsid w:val="00943DE7"/>
    <w:rsid w:val="00954A09"/>
    <w:rsid w:val="009C68E4"/>
    <w:rsid w:val="009E6620"/>
    <w:rsid w:val="00A062C9"/>
    <w:rsid w:val="00A133CD"/>
    <w:rsid w:val="00A20588"/>
    <w:rsid w:val="00A54072"/>
    <w:rsid w:val="00A92FC5"/>
    <w:rsid w:val="00AF1C32"/>
    <w:rsid w:val="00B512BF"/>
    <w:rsid w:val="00C01B66"/>
    <w:rsid w:val="00C3564D"/>
    <w:rsid w:val="00CD5803"/>
    <w:rsid w:val="00CF76E7"/>
    <w:rsid w:val="00D16F7B"/>
    <w:rsid w:val="00D30F7F"/>
    <w:rsid w:val="00D32ACE"/>
    <w:rsid w:val="00DB6ECB"/>
    <w:rsid w:val="00DD0AC5"/>
    <w:rsid w:val="00E23916"/>
    <w:rsid w:val="00EC1A2B"/>
    <w:rsid w:val="00F054C6"/>
    <w:rsid w:val="00F11B99"/>
    <w:rsid w:val="00F12AB2"/>
    <w:rsid w:val="00F93E07"/>
    <w:rsid w:val="00FC402A"/>
    <w:rsid w:val="012F55FD"/>
    <w:rsid w:val="02147E55"/>
    <w:rsid w:val="04807AAD"/>
    <w:rsid w:val="058244AF"/>
    <w:rsid w:val="05E6585C"/>
    <w:rsid w:val="088415B7"/>
    <w:rsid w:val="09C70460"/>
    <w:rsid w:val="0A31526B"/>
    <w:rsid w:val="0C6F2338"/>
    <w:rsid w:val="0DDA15B3"/>
    <w:rsid w:val="13C419AD"/>
    <w:rsid w:val="14D918C2"/>
    <w:rsid w:val="17124C72"/>
    <w:rsid w:val="1B08268A"/>
    <w:rsid w:val="1B084650"/>
    <w:rsid w:val="1C9D12CE"/>
    <w:rsid w:val="1D686ACF"/>
    <w:rsid w:val="1DB418AE"/>
    <w:rsid w:val="1DCB4F1E"/>
    <w:rsid w:val="1E3E4F0A"/>
    <w:rsid w:val="1F5A1F48"/>
    <w:rsid w:val="20106F09"/>
    <w:rsid w:val="20E36D41"/>
    <w:rsid w:val="210461B3"/>
    <w:rsid w:val="21371D65"/>
    <w:rsid w:val="22C20BF1"/>
    <w:rsid w:val="23282B38"/>
    <w:rsid w:val="242B4E3C"/>
    <w:rsid w:val="2562714D"/>
    <w:rsid w:val="25BA09E5"/>
    <w:rsid w:val="26EF22FD"/>
    <w:rsid w:val="27E16118"/>
    <w:rsid w:val="28091E43"/>
    <w:rsid w:val="28EB477E"/>
    <w:rsid w:val="2AC82E3D"/>
    <w:rsid w:val="2E007A1F"/>
    <w:rsid w:val="2F441FA2"/>
    <w:rsid w:val="2F7F4E2C"/>
    <w:rsid w:val="2FD70B30"/>
    <w:rsid w:val="2FF355F6"/>
    <w:rsid w:val="30C023C7"/>
    <w:rsid w:val="319F04F9"/>
    <w:rsid w:val="32550EA6"/>
    <w:rsid w:val="32D570E6"/>
    <w:rsid w:val="34EA2D09"/>
    <w:rsid w:val="34F00005"/>
    <w:rsid w:val="357021CB"/>
    <w:rsid w:val="39AD76D2"/>
    <w:rsid w:val="3A981EFF"/>
    <w:rsid w:val="3D9D05CF"/>
    <w:rsid w:val="42982C27"/>
    <w:rsid w:val="43F85575"/>
    <w:rsid w:val="4439397F"/>
    <w:rsid w:val="44E66991"/>
    <w:rsid w:val="44F54D66"/>
    <w:rsid w:val="46F506BE"/>
    <w:rsid w:val="4703102D"/>
    <w:rsid w:val="4705491E"/>
    <w:rsid w:val="47870662"/>
    <w:rsid w:val="49255820"/>
    <w:rsid w:val="4B652F52"/>
    <w:rsid w:val="4C920D4B"/>
    <w:rsid w:val="50636B18"/>
    <w:rsid w:val="50F0622B"/>
    <w:rsid w:val="55CE46B5"/>
    <w:rsid w:val="55F5398B"/>
    <w:rsid w:val="55F8457D"/>
    <w:rsid w:val="58067E17"/>
    <w:rsid w:val="5814296E"/>
    <w:rsid w:val="59C82A51"/>
    <w:rsid w:val="59EC62F0"/>
    <w:rsid w:val="5A8E6A07"/>
    <w:rsid w:val="5AA2763D"/>
    <w:rsid w:val="5B461090"/>
    <w:rsid w:val="5BEA4DFF"/>
    <w:rsid w:val="5CCB4073"/>
    <w:rsid w:val="5D200291"/>
    <w:rsid w:val="5D9E397B"/>
    <w:rsid w:val="5DE34B5D"/>
    <w:rsid w:val="5EA615EA"/>
    <w:rsid w:val="5ECD1A47"/>
    <w:rsid w:val="6730746C"/>
    <w:rsid w:val="67584625"/>
    <w:rsid w:val="6A170CCD"/>
    <w:rsid w:val="6A22372A"/>
    <w:rsid w:val="6B675C3C"/>
    <w:rsid w:val="6E340F38"/>
    <w:rsid w:val="70382752"/>
    <w:rsid w:val="70AA07D0"/>
    <w:rsid w:val="719D784E"/>
    <w:rsid w:val="71EE20C6"/>
    <w:rsid w:val="720B1B57"/>
    <w:rsid w:val="722C0C7D"/>
    <w:rsid w:val="733E5273"/>
    <w:rsid w:val="74496EBF"/>
    <w:rsid w:val="750254F7"/>
    <w:rsid w:val="753F4E19"/>
    <w:rsid w:val="754D5B45"/>
    <w:rsid w:val="75621993"/>
    <w:rsid w:val="75EF7DDE"/>
    <w:rsid w:val="770D1A50"/>
    <w:rsid w:val="777C3B73"/>
    <w:rsid w:val="778E5E45"/>
    <w:rsid w:val="77D76E8D"/>
    <w:rsid w:val="77E139D3"/>
    <w:rsid w:val="780C50C4"/>
    <w:rsid w:val="79A0064C"/>
    <w:rsid w:val="7AD503D1"/>
    <w:rsid w:val="7AFC13F7"/>
    <w:rsid w:val="7B7C3913"/>
    <w:rsid w:val="7CB17BE3"/>
    <w:rsid w:val="7FF22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rPr>
      <w:rFonts w:ascii="Calibri" w:hAnsi="Calibri" w:eastAsia="宋体" w:cs="黑体"/>
    </w:rPr>
  </w:style>
  <w:style w:type="paragraph" w:customStyle="1" w:styleId="11">
    <w:name w:val="普通(网站) Char"/>
    <w:basedOn w:val="1"/>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5094</Words>
  <Characters>5501</Characters>
  <Lines>51</Lines>
  <Paragraphs>14</Paragraphs>
  <TotalTime>3</TotalTime>
  <ScaleCrop>false</ScaleCrop>
  <LinksUpToDate>false</LinksUpToDate>
  <CharactersWithSpaces>5613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Administrator</cp:lastModifiedBy>
  <dcterms:modified xsi:type="dcterms:W3CDTF">2023-10-27T07:15:36Z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B08DC006589245ACB974C86BF0476730_13</vt:lpwstr>
  </property>
</Properties>
</file>