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黑体" w:hAnsi="ˎ̥" w:eastAsia="黑体" w:cs="Times New Roman"/>
          <w:sz w:val="44"/>
          <w:szCs w:val="44"/>
        </w:rPr>
      </w:pPr>
      <w:r>
        <w:rPr>
          <w:rFonts w:hint="eastAsia" w:ascii="黑体" w:hAnsi="ˎ̥" w:eastAsia="黑体" w:cs="Times New Roman"/>
          <w:sz w:val="44"/>
          <w:szCs w:val="44"/>
        </w:rPr>
        <w:t>三亚市天涯区</w:t>
      </w:r>
      <w:r>
        <w:rPr>
          <w:rFonts w:hint="eastAsia" w:ascii="黑体" w:hAnsi="ˎ̥" w:eastAsia="黑体" w:cs="Times New Roman"/>
          <w:sz w:val="44"/>
          <w:szCs w:val="44"/>
          <w:lang w:val="en-US" w:eastAsia="zh-CN"/>
        </w:rPr>
        <w:t>第二幼儿园</w:t>
      </w:r>
      <w:r>
        <w:rPr>
          <w:rFonts w:hint="eastAsia" w:ascii="黑体" w:hAnsi="ˎ̥" w:eastAsia="黑体" w:cs="Times New Roman"/>
          <w:sz w:val="44"/>
          <w:szCs w:val="44"/>
        </w:rPr>
        <w:t>202</w:t>
      </w:r>
      <w:r>
        <w:rPr>
          <w:rFonts w:hint="eastAsia" w:ascii="黑体" w:hAnsi="ˎ̥" w:eastAsia="黑体" w:cs="Times New Roman"/>
          <w:sz w:val="44"/>
          <w:szCs w:val="44"/>
          <w:lang w:val="en-US" w:eastAsia="zh-CN"/>
        </w:rPr>
        <w:t>2</w:t>
      </w:r>
      <w:r>
        <w:rPr>
          <w:rFonts w:hint="eastAsia" w:ascii="黑体" w:hAnsi="ˎ̥" w:eastAsia="黑体" w:cs="Times New Roman"/>
          <w:sz w:val="44"/>
          <w:szCs w:val="44"/>
        </w:rPr>
        <w:t>年度</w:t>
      </w:r>
    </w:p>
    <w:p>
      <w:pPr>
        <w:jc w:val="center"/>
        <w:rPr>
          <w:rFonts w:ascii="黑体" w:hAnsi="ˎ̥" w:eastAsia="黑体" w:cs="Times New Roman"/>
          <w:sz w:val="44"/>
          <w:szCs w:val="44"/>
        </w:rPr>
      </w:pPr>
      <w:r>
        <w:rPr>
          <w:rFonts w:hint="eastAsia" w:ascii="黑体" w:hAnsi="ˎ̥" w:eastAsia="黑体" w:cs="Times New Roman"/>
          <w:sz w:val="44"/>
          <w:szCs w:val="44"/>
          <w:lang w:val="en-US" w:eastAsia="zh-CN"/>
        </w:rPr>
        <w:t>部门</w:t>
      </w:r>
      <w:r>
        <w:rPr>
          <w:rFonts w:hint="eastAsia" w:ascii="黑体" w:hAnsi="ˎ̥" w:eastAsia="黑体" w:cs="Times New Roman"/>
          <w:sz w:val="44"/>
          <w:szCs w:val="44"/>
        </w:rPr>
        <w:t>决算公开文字说明</w:t>
      </w:r>
    </w:p>
    <w:p>
      <w:pPr>
        <w:jc w:val="center"/>
        <w:rPr>
          <w:rFonts w:ascii="黑体" w:hAnsi="ˎ̥" w:eastAsia="黑体" w:cs="Times New Roman"/>
          <w:b/>
          <w:sz w:val="32"/>
          <w:szCs w:val="32"/>
        </w:rPr>
      </w:pPr>
    </w:p>
    <w:p>
      <w:pPr>
        <w:jc w:val="center"/>
        <w:rPr>
          <w:rFonts w:ascii="黑体" w:hAnsi="黑体" w:eastAsia="黑体" w:cs="黑体"/>
          <w:sz w:val="44"/>
          <w:szCs w:val="44"/>
        </w:rPr>
      </w:pPr>
      <w:bookmarkStart w:id="0" w:name="_Toc11440_WPSOffice_Type2"/>
      <w:r>
        <w:rPr>
          <w:rFonts w:hint="eastAsia" w:ascii="黑体" w:hAnsi="黑体" w:eastAsia="黑体" w:cs="黑体"/>
          <w:sz w:val="44"/>
          <w:szCs w:val="44"/>
        </w:rPr>
        <w:t xml:space="preserve">目  录 </w:t>
      </w:r>
    </w:p>
    <w:p>
      <w:pPr>
        <w:widowControl/>
        <w:tabs>
          <w:tab w:val="right" w:leader="dot" w:pos="8306"/>
        </w:tabs>
        <w:jc w:val="left"/>
        <w:rPr>
          <w:rFonts w:ascii="Times New Roman" w:hAnsi="Times New Roman" w:eastAsia="宋体" w:cs="Times New Roman"/>
          <w:kern w:val="0"/>
          <w:sz w:val="32"/>
          <w:szCs w:val="32"/>
        </w:rPr>
      </w:pPr>
      <w:r>
        <w:fldChar w:fldCharType="begin"/>
      </w:r>
      <w:r>
        <w:instrText xml:space="preserve"> HYPERLINK \l "_Toc1704_WPSOffice_Level1" </w:instrText>
      </w:r>
      <w:r>
        <w:fldChar w:fldCharType="separate"/>
      </w:r>
      <w:r>
        <w:rPr>
          <w:rFonts w:hint="eastAsia" w:ascii="黑体" w:hAnsi="ˎ̥" w:eastAsia="黑体" w:cs="Times New Roman"/>
          <w:kern w:val="0"/>
          <w:sz w:val="32"/>
          <w:szCs w:val="32"/>
        </w:rPr>
        <w:t>第一部分  三亚市天涯区</w:t>
      </w:r>
      <w:r>
        <w:rPr>
          <w:rFonts w:hint="eastAsia" w:ascii="黑体" w:hAnsi="ˎ̥" w:eastAsia="黑体" w:cs="Times New Roman"/>
          <w:kern w:val="0"/>
          <w:sz w:val="32"/>
          <w:szCs w:val="32"/>
          <w:lang w:val="en-US" w:eastAsia="zh-CN"/>
        </w:rPr>
        <w:t>第二幼儿园</w:t>
      </w:r>
      <w:r>
        <w:rPr>
          <w:rFonts w:hint="eastAsia" w:ascii="黑体" w:hAnsi="ˎ̥" w:eastAsia="黑体" w:cs="Times New Roman"/>
          <w:kern w:val="0"/>
          <w:sz w:val="32"/>
          <w:szCs w:val="32"/>
        </w:rPr>
        <w:t>概况</w:t>
      </w:r>
      <w:r>
        <w:rPr>
          <w:rFonts w:ascii="Times New Roman" w:hAnsi="Times New Roman" w:eastAsia="宋体" w:cs="Times New Roman"/>
          <w:kern w:val="0"/>
          <w:sz w:val="32"/>
          <w:szCs w:val="32"/>
        </w:rPr>
        <w:tab/>
      </w:r>
      <w:r>
        <w:rPr>
          <w:rFonts w:hint="eastAsia" w:ascii="Times New Roman" w:hAnsi="Times New Roman" w:eastAsia="宋体" w:cs="Times New Roman"/>
          <w:kern w:val="0"/>
          <w:sz w:val="32"/>
          <w:szCs w:val="32"/>
        </w:rPr>
        <w:t>3</w:t>
      </w:r>
      <w:r>
        <w:rPr>
          <w:rFonts w:hint="eastAsia" w:ascii="Times New Roman" w:hAnsi="Times New Roman" w:eastAsia="宋体" w:cs="Times New Roman"/>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"_Toc20274_WPSOffice_Level2" </w:instrText>
      </w:r>
      <w:r>
        <w:fldChar w:fldCharType="separate"/>
      </w:r>
      <w:r>
        <w:rPr>
          <w:rFonts w:hint="eastAsia" w:ascii="仿宋" w:hAnsi="仿宋" w:eastAsia="仿宋" w:cs="仿宋"/>
          <w:kern w:val="0"/>
          <w:sz w:val="32"/>
          <w:szCs w:val="32"/>
        </w:rPr>
        <w:t>一、部门职责</w:t>
      </w:r>
      <w:r>
        <w:rPr>
          <w:rFonts w:hint="eastAsia" w:ascii="仿宋" w:hAnsi="仿宋" w:eastAsia="仿宋" w:cs="仿宋"/>
          <w:kern w:val="0"/>
          <w:sz w:val="32"/>
          <w:szCs w:val="32"/>
        </w:rPr>
        <w:tab/>
      </w:r>
      <w:r>
        <w:rPr>
          <w:rFonts w:hint="eastAsia" w:ascii="仿宋" w:hAnsi="仿宋" w:eastAsia="仿宋" w:cs="仿宋"/>
          <w:kern w:val="0"/>
          <w:sz w:val="32"/>
          <w:szCs w:val="32"/>
        </w:rPr>
        <w:t>3</w:t>
      </w:r>
      <w:r>
        <w:rPr>
          <w:rFonts w:hint="eastAsia" w:ascii="仿宋" w:hAnsi="仿宋" w:eastAsia="仿宋" w:cs="仿宋"/>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"_Toc4833_WPSOffice_Level2" </w:instrText>
      </w:r>
      <w:r>
        <w:fldChar w:fldCharType="separate"/>
      </w:r>
      <w:r>
        <w:rPr>
          <w:rFonts w:hint="eastAsia" w:ascii="仿宋" w:hAnsi="仿宋" w:eastAsia="仿宋" w:cs="仿宋"/>
          <w:kern w:val="0"/>
          <w:sz w:val="32"/>
          <w:szCs w:val="32"/>
        </w:rPr>
        <w:t>二、机构设置</w:t>
      </w:r>
      <w:r>
        <w:rPr>
          <w:rFonts w:hint="eastAsia" w:ascii="仿宋" w:hAnsi="仿宋" w:eastAsia="仿宋" w:cs="仿宋"/>
          <w:kern w:val="0"/>
          <w:sz w:val="32"/>
          <w:szCs w:val="32"/>
        </w:rPr>
        <w:tab/>
      </w:r>
      <w:r>
        <w:rPr>
          <w:rFonts w:hint="eastAsia" w:ascii="仿宋" w:hAnsi="仿宋" w:eastAsia="仿宋" w:cs="仿宋"/>
          <w:kern w:val="0"/>
          <w:sz w:val="32"/>
          <w:szCs w:val="32"/>
        </w:rPr>
        <w:t>3</w:t>
      </w:r>
      <w:r>
        <w:rPr>
          <w:rFonts w:hint="eastAsia" w:ascii="仿宋" w:hAnsi="仿宋" w:eastAsia="仿宋" w:cs="仿宋"/>
          <w:kern w:val="0"/>
          <w:sz w:val="32"/>
          <w:szCs w:val="32"/>
        </w:rPr>
        <w:fldChar w:fldCharType="end"/>
      </w:r>
    </w:p>
    <w:p>
      <w:pPr>
        <w:widowControl/>
        <w:tabs>
          <w:tab w:val="right" w:leader="dot" w:pos="8306"/>
        </w:tabs>
        <w:jc w:val="left"/>
        <w:rPr>
          <w:rFonts w:ascii="Times New Roman" w:hAnsi="Times New Roman" w:eastAsia="宋体" w:cs="Times New Roman"/>
          <w:kern w:val="0"/>
          <w:sz w:val="32"/>
          <w:szCs w:val="32"/>
        </w:rPr>
      </w:pPr>
      <w:r>
        <w:fldChar w:fldCharType="begin"/>
      </w:r>
      <w:r>
        <w:instrText xml:space="preserve"> HYPERLINK \l "_Toc28253_WPSOffice_Level1" </w:instrText>
      </w:r>
      <w:r>
        <w:fldChar w:fldCharType="separate"/>
      </w:r>
      <w:r>
        <w:rPr>
          <w:rFonts w:hint="eastAsia" w:ascii="黑体" w:hAnsi="ˎ̥" w:eastAsia="黑体" w:cs="Times New Roman"/>
          <w:kern w:val="0"/>
          <w:sz w:val="32"/>
          <w:szCs w:val="32"/>
        </w:rPr>
        <w:t>第二部分  三亚市天涯区</w:t>
      </w:r>
      <w:r>
        <w:rPr>
          <w:rFonts w:hint="eastAsia" w:ascii="黑体" w:hAnsi="ˎ̥" w:eastAsia="黑体" w:cs="Times New Roman"/>
          <w:kern w:val="0"/>
          <w:sz w:val="32"/>
          <w:szCs w:val="32"/>
          <w:lang w:val="en-US" w:eastAsia="zh-CN"/>
        </w:rPr>
        <w:t>第二幼儿园</w:t>
      </w:r>
      <w:r>
        <w:rPr>
          <w:rFonts w:hint="eastAsia" w:ascii="黑体" w:hAnsi="ˎ̥" w:eastAsia="黑体" w:cs="Times New Roman"/>
          <w:kern w:val="0"/>
          <w:sz w:val="32"/>
          <w:szCs w:val="32"/>
          <w:lang w:eastAsia="zh-CN"/>
        </w:rPr>
        <w:t>202</w:t>
      </w:r>
      <w:r>
        <w:rPr>
          <w:rFonts w:hint="eastAsia" w:ascii="黑体" w:hAnsi="ˎ̥" w:eastAsia="黑体" w:cs="Times New Roman"/>
          <w:kern w:val="0"/>
          <w:sz w:val="32"/>
          <w:szCs w:val="32"/>
          <w:lang w:val="en-US" w:eastAsia="zh-CN"/>
        </w:rPr>
        <w:t>2</w:t>
      </w:r>
      <w:r>
        <w:rPr>
          <w:rFonts w:hint="eastAsia" w:ascii="黑体" w:hAnsi="ˎ̥" w:eastAsia="黑体" w:cs="Times New Roman"/>
          <w:kern w:val="0"/>
          <w:sz w:val="32"/>
          <w:szCs w:val="32"/>
        </w:rPr>
        <w:t>年度</w:t>
      </w:r>
      <w:r>
        <w:rPr>
          <w:rFonts w:hint="eastAsia" w:ascii="黑体" w:hAnsi="ˎ̥" w:eastAsia="黑体" w:cs="Times New Roman"/>
          <w:kern w:val="0"/>
          <w:sz w:val="32"/>
          <w:szCs w:val="32"/>
          <w:lang w:val="en-US" w:eastAsia="zh-CN"/>
        </w:rPr>
        <w:t>部门</w:t>
      </w:r>
      <w:r>
        <w:rPr>
          <w:rFonts w:hint="eastAsia" w:ascii="黑体" w:hAnsi="ˎ̥" w:eastAsia="黑体" w:cs="Times New Roman"/>
          <w:kern w:val="0"/>
          <w:sz w:val="32"/>
          <w:szCs w:val="32"/>
        </w:rPr>
        <w:t>决算公开表</w:t>
      </w:r>
      <w:r>
        <w:rPr>
          <w:rFonts w:ascii="Times New Roman" w:hAnsi="Times New Roman" w:eastAsia="宋体" w:cs="Times New Roman"/>
          <w:kern w:val="0"/>
          <w:sz w:val="32"/>
          <w:szCs w:val="32"/>
        </w:rPr>
        <w:tab/>
      </w:r>
      <w:r>
        <w:rPr>
          <w:rFonts w:hint="eastAsia" w:ascii="Times New Roman" w:hAnsi="Times New Roman" w:eastAsia="宋体" w:cs="Times New Roman"/>
          <w:kern w:val="0"/>
          <w:sz w:val="32"/>
          <w:szCs w:val="32"/>
        </w:rPr>
        <w:t>3</w:t>
      </w:r>
      <w:r>
        <w:rPr>
          <w:rFonts w:hint="eastAsia" w:ascii="Times New Roman" w:hAnsi="Times New Roman" w:eastAsia="宋体" w:cs="Times New Roman"/>
          <w:kern w:val="0"/>
          <w:sz w:val="32"/>
          <w:szCs w:val="32"/>
        </w:rPr>
        <w:fldChar w:fldCharType="end"/>
      </w:r>
    </w:p>
    <w:p>
      <w:pPr>
        <w:widowControl/>
        <w:tabs>
          <w:tab w:val="right" w:leader="dot" w:pos="8306"/>
        </w:tabs>
        <w:jc w:val="left"/>
        <w:rPr>
          <w:rFonts w:ascii="Times New Roman" w:hAnsi="Times New Roman" w:eastAsia="宋体" w:cs="Times New Roman"/>
          <w:kern w:val="0"/>
          <w:sz w:val="32"/>
          <w:szCs w:val="32"/>
        </w:rPr>
      </w:pPr>
      <w:r>
        <w:fldChar w:fldCharType="begin"/>
      </w:r>
      <w:r>
        <w:instrText xml:space="preserve"> HYPERLINK \l "_Toc27590_WPSOffice_Level1" </w:instrText>
      </w:r>
      <w:r>
        <w:fldChar w:fldCharType="separate"/>
      </w:r>
      <w:r>
        <w:rPr>
          <w:rFonts w:hint="eastAsia" w:ascii="黑体" w:hAnsi="黑体" w:eastAsia="黑体" w:cs="黑体"/>
          <w:kern w:val="0"/>
          <w:sz w:val="32"/>
          <w:szCs w:val="32"/>
        </w:rPr>
        <w:t>第三部分</w:t>
      </w:r>
      <w:r>
        <w:rPr>
          <w:rFonts w:hint="eastAsia" w:ascii="Times New Roman" w:hAnsi="Times New Roman" w:eastAsia="宋体" w:cs="Times New Roman"/>
          <w:kern w:val="0"/>
          <w:sz w:val="32"/>
          <w:szCs w:val="32"/>
        </w:rPr>
        <w:t xml:space="preserve">  </w:t>
      </w:r>
      <w:r>
        <w:rPr>
          <w:rFonts w:hint="eastAsia" w:ascii="黑体" w:hAnsi="黑体" w:eastAsia="黑体" w:cs="Times New Roman"/>
          <w:kern w:val="0"/>
          <w:sz w:val="32"/>
          <w:szCs w:val="32"/>
        </w:rPr>
        <w:t>三亚市天涯区</w:t>
      </w:r>
      <w:r>
        <w:rPr>
          <w:rFonts w:hint="eastAsia" w:ascii="黑体" w:hAnsi="ˎ̥" w:eastAsia="黑体" w:cs="Times New Roman"/>
          <w:kern w:val="0"/>
          <w:sz w:val="32"/>
          <w:szCs w:val="32"/>
          <w:lang w:val="en-US" w:eastAsia="zh-CN"/>
        </w:rPr>
        <w:t>第二幼儿园</w:t>
      </w:r>
      <w:r>
        <w:rPr>
          <w:rFonts w:hint="eastAsia" w:ascii="黑体" w:hAnsi="ˎ̥" w:eastAsia="黑体" w:cs="Times New Roman"/>
          <w:kern w:val="0"/>
          <w:sz w:val="32"/>
          <w:szCs w:val="32"/>
          <w:lang w:eastAsia="zh-CN"/>
        </w:rPr>
        <w:t>202</w:t>
      </w:r>
      <w:r>
        <w:rPr>
          <w:rFonts w:hint="eastAsia" w:ascii="黑体" w:hAnsi="ˎ̥" w:eastAsia="黑体" w:cs="Times New Roman"/>
          <w:kern w:val="0"/>
          <w:sz w:val="32"/>
          <w:szCs w:val="32"/>
          <w:lang w:val="en-US" w:eastAsia="zh-CN"/>
        </w:rPr>
        <w:t>2</w:t>
      </w:r>
      <w:r>
        <w:rPr>
          <w:rFonts w:hint="eastAsia" w:ascii="黑体" w:hAnsi="ˎ̥" w:eastAsia="黑体" w:cs="Times New Roman"/>
          <w:kern w:val="0"/>
          <w:sz w:val="32"/>
          <w:szCs w:val="32"/>
        </w:rPr>
        <w:t>年度</w:t>
      </w:r>
      <w:r>
        <w:rPr>
          <w:rFonts w:hint="eastAsia" w:ascii="黑体" w:hAnsi="ˎ̥" w:eastAsia="黑体" w:cs="Times New Roman"/>
          <w:kern w:val="0"/>
          <w:sz w:val="32"/>
          <w:szCs w:val="32"/>
          <w:lang w:val="en-US" w:eastAsia="zh-CN"/>
        </w:rPr>
        <w:t>部门</w:t>
      </w:r>
      <w:r>
        <w:rPr>
          <w:rFonts w:hint="eastAsia" w:ascii="黑体" w:hAnsi="ˎ̥" w:eastAsia="黑体" w:cs="Times New Roman"/>
          <w:kern w:val="0"/>
          <w:sz w:val="32"/>
          <w:szCs w:val="32"/>
        </w:rPr>
        <w:t>决算情况说明</w:t>
      </w:r>
      <w:r>
        <w:rPr>
          <w:rFonts w:ascii="Times New Roman" w:hAnsi="Times New Roman" w:eastAsia="宋体" w:cs="Times New Roman"/>
          <w:kern w:val="0"/>
          <w:sz w:val="32"/>
          <w:szCs w:val="32"/>
        </w:rPr>
        <w:tab/>
      </w:r>
      <w:r>
        <w:rPr>
          <w:rFonts w:hint="eastAsia" w:ascii="Times New Roman" w:hAnsi="Times New Roman" w:eastAsia="宋体" w:cs="Times New Roman"/>
          <w:kern w:val="0"/>
          <w:sz w:val="32"/>
          <w:szCs w:val="32"/>
        </w:rPr>
        <w:t>4</w:t>
      </w:r>
      <w:r>
        <w:rPr>
          <w:rFonts w:hint="eastAsia" w:ascii="Times New Roman" w:hAnsi="Times New Roman" w:eastAsia="宋体" w:cs="Times New Roman"/>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"_Toc21737_WPSOffice_Level2" </w:instrText>
      </w:r>
      <w:r>
        <w:fldChar w:fldCharType="separate"/>
      </w:r>
      <w:r>
        <w:rPr>
          <w:rFonts w:hint="eastAsia" w:ascii="仿宋" w:hAnsi="仿宋" w:eastAsia="仿宋" w:cs="仿宋"/>
          <w:bCs/>
          <w:kern w:val="0"/>
          <w:sz w:val="32"/>
          <w:szCs w:val="32"/>
        </w:rPr>
        <w:t>一、收入支出决算总体情况说明</w:t>
      </w:r>
      <w:r>
        <w:rPr>
          <w:rFonts w:hint="eastAsia" w:ascii="仿宋" w:hAnsi="仿宋" w:eastAsia="仿宋" w:cs="仿宋"/>
          <w:kern w:val="0"/>
          <w:sz w:val="32"/>
          <w:szCs w:val="32"/>
        </w:rPr>
        <w:tab/>
      </w:r>
      <w:r>
        <w:rPr>
          <w:rFonts w:hint="eastAsia" w:ascii="仿宋" w:hAnsi="仿宋" w:eastAsia="仿宋" w:cs="仿宋"/>
          <w:kern w:val="0"/>
          <w:sz w:val="32"/>
          <w:szCs w:val="32"/>
        </w:rPr>
        <w:t>4</w:t>
      </w:r>
      <w:r>
        <w:rPr>
          <w:rFonts w:hint="eastAsia" w:ascii="仿宋" w:hAnsi="仿宋" w:eastAsia="仿宋" w:cs="仿宋"/>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"_Toc19535_WPSOffice_Level2" </w:instrText>
      </w:r>
      <w:r>
        <w:fldChar w:fldCharType="separate"/>
      </w:r>
      <w:r>
        <w:rPr>
          <w:rFonts w:hint="eastAsia" w:ascii="仿宋" w:hAnsi="仿宋" w:eastAsia="仿宋" w:cs="仿宋"/>
          <w:bCs/>
          <w:kern w:val="0"/>
          <w:sz w:val="32"/>
          <w:szCs w:val="32"/>
        </w:rPr>
        <w:t>二、收入决算情况说明</w:t>
      </w:r>
      <w:r>
        <w:rPr>
          <w:rFonts w:hint="eastAsia" w:ascii="仿宋" w:hAnsi="仿宋" w:eastAsia="仿宋" w:cs="仿宋"/>
          <w:kern w:val="0"/>
          <w:sz w:val="32"/>
          <w:szCs w:val="32"/>
        </w:rPr>
        <w:tab/>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"_Toc19535_WPSOffice_Level2" </w:instrText>
      </w:r>
      <w:r>
        <w:fldChar w:fldCharType="separate"/>
      </w:r>
      <w:r>
        <w:rPr>
          <w:rFonts w:hint="eastAsia" w:ascii="仿宋" w:hAnsi="仿宋" w:eastAsia="仿宋" w:cs="仿宋"/>
          <w:bCs/>
          <w:kern w:val="0"/>
          <w:sz w:val="32"/>
          <w:szCs w:val="32"/>
        </w:rPr>
        <w:t>三、支出决算情况说明</w:t>
      </w:r>
      <w:r>
        <w:rPr>
          <w:rFonts w:hint="eastAsia" w:ascii="仿宋" w:hAnsi="仿宋" w:eastAsia="仿宋" w:cs="仿宋"/>
          <w:kern w:val="0"/>
          <w:sz w:val="32"/>
          <w:szCs w:val="32"/>
        </w:rPr>
        <w:tab/>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"_Toc19535_WPSOffice_Level2" </w:instrText>
      </w:r>
      <w:r>
        <w:fldChar w:fldCharType="separate"/>
      </w:r>
      <w:r>
        <w:rPr>
          <w:rFonts w:hint="eastAsia" w:ascii="仿宋" w:hAnsi="仿宋" w:eastAsia="仿宋" w:cs="仿宋"/>
          <w:bCs/>
          <w:kern w:val="0"/>
          <w:sz w:val="32"/>
          <w:szCs w:val="32"/>
        </w:rPr>
        <w:t>四、财政拨款收入支出决算情况说明</w:t>
      </w:r>
      <w:r>
        <w:rPr>
          <w:rFonts w:hint="eastAsia" w:ascii="仿宋" w:hAnsi="仿宋" w:eastAsia="仿宋" w:cs="仿宋"/>
          <w:kern w:val="0"/>
          <w:sz w:val="32"/>
          <w:szCs w:val="32"/>
        </w:rPr>
        <w:tab/>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"_Toc19535_WPSOffice_Level2" </w:instrText>
      </w:r>
      <w:r>
        <w:fldChar w:fldCharType="separate"/>
      </w:r>
      <w:r>
        <w:rPr>
          <w:rFonts w:hint="eastAsia" w:ascii="仿宋" w:hAnsi="仿宋" w:eastAsia="仿宋" w:cs="仿宋"/>
          <w:bCs/>
          <w:kern w:val="0"/>
          <w:sz w:val="32"/>
          <w:szCs w:val="32"/>
        </w:rPr>
        <w:t>五、一般公共预算财政拨款支出决算情况说明</w:t>
      </w:r>
      <w:r>
        <w:rPr>
          <w:rFonts w:hint="eastAsia" w:ascii="仿宋" w:hAnsi="仿宋" w:eastAsia="仿宋" w:cs="仿宋"/>
          <w:kern w:val="0"/>
          <w:sz w:val="32"/>
          <w:szCs w:val="32"/>
        </w:rPr>
        <w:tab/>
      </w: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"_Toc19535_WPSOffice_Level2" </w:instrText>
      </w:r>
      <w:r>
        <w:fldChar w:fldCharType="separate"/>
      </w:r>
      <w:r>
        <w:rPr>
          <w:rFonts w:hint="eastAsia" w:ascii="仿宋" w:hAnsi="仿宋" w:eastAsia="仿宋" w:cs="仿宋"/>
          <w:bCs/>
          <w:kern w:val="0"/>
          <w:sz w:val="32"/>
          <w:szCs w:val="32"/>
        </w:rPr>
        <w:t>六、一般公共预算财政拨款基本支出决算情况说明</w:t>
      </w:r>
      <w:r>
        <w:rPr>
          <w:rFonts w:hint="eastAsia" w:ascii="仿宋" w:hAnsi="仿宋" w:eastAsia="仿宋" w:cs="仿宋"/>
          <w:bCs/>
          <w:kern w:val="0"/>
          <w:sz w:val="32"/>
          <w:szCs w:val="32"/>
        </w:rPr>
        <w:fldChar w:fldCharType="end"/>
      </w:r>
      <w:r>
        <w:rPr>
          <w:rFonts w:hint="eastAsia" w:ascii="仿宋" w:hAnsi="仿宋" w:eastAsia="仿宋" w:cs="仿宋"/>
          <w:kern w:val="0"/>
          <w:sz w:val="32"/>
          <w:szCs w:val="32"/>
        </w:rPr>
        <w:tab/>
      </w:r>
      <w:r>
        <w:rPr>
          <w:rFonts w:hint="eastAsia" w:ascii="仿宋" w:hAnsi="仿宋" w:eastAsia="仿宋" w:cs="仿宋"/>
          <w:kern w:val="0"/>
          <w:sz w:val="32"/>
          <w:szCs w:val="32"/>
        </w:rPr>
        <w:t>7</w:t>
      </w:r>
    </w:p>
    <w:p>
      <w:pPr>
        <w:widowControl/>
        <w:numPr>
          <w:ilvl w:val="0"/>
          <w:numId w:val="1"/>
        </w:numPr>
        <w:tabs>
          <w:tab w:val="right" w:leader="dot" w:pos="8306"/>
        </w:tabs>
        <w:jc w:val="left"/>
        <w:rPr>
          <w:rFonts w:ascii="仿宋" w:hAnsi="仿宋" w:eastAsia="仿宋" w:cs="仿宋"/>
          <w:kern w:val="0"/>
          <w:sz w:val="32"/>
          <w:szCs w:val="32"/>
        </w:rPr>
      </w:pPr>
      <w:r>
        <w:rPr>
          <w:rFonts w:hint="eastAsia" w:ascii="仿宋" w:hAnsi="仿宋" w:eastAsia="仿宋" w:cs="仿宋"/>
          <w:bCs/>
          <w:kern w:val="0"/>
          <w:sz w:val="32"/>
          <w:szCs w:val="32"/>
        </w:rPr>
        <w:t>政府性基金预算财政拨款收入支出决算情况说明</w:t>
      </w:r>
      <w:r>
        <w:rPr>
          <w:rFonts w:hint="eastAsia" w:ascii="仿宋" w:hAnsi="仿宋" w:eastAsia="仿宋" w:cs="仿宋"/>
          <w:kern w:val="0"/>
          <w:sz w:val="32"/>
          <w:szCs w:val="32"/>
        </w:rPr>
        <w:tab/>
      </w:r>
      <w:r>
        <w:rPr>
          <w:rFonts w:hint="eastAsia" w:ascii="仿宋" w:hAnsi="仿宋" w:eastAsia="仿宋" w:cs="仿宋"/>
          <w:kern w:val="0"/>
          <w:sz w:val="32"/>
          <w:szCs w:val="32"/>
          <w:lang w:val="en-US" w:eastAsia="zh-CN"/>
        </w:rPr>
        <w:t>7</w:t>
      </w:r>
    </w:p>
    <w:p>
      <w:pPr>
        <w:widowControl/>
        <w:numPr>
          <w:ilvl w:val="0"/>
          <w:numId w:val="1"/>
        </w:numPr>
        <w:tabs>
          <w:tab w:val="right" w:leader="dot" w:pos="8306"/>
        </w:tabs>
        <w:jc w:val="left"/>
        <w:rPr>
          <w:rFonts w:ascii="仿宋" w:hAnsi="仿宋" w:eastAsia="仿宋" w:cs="仿宋"/>
          <w:kern w:val="0"/>
          <w:sz w:val="32"/>
          <w:szCs w:val="32"/>
        </w:rPr>
      </w:pPr>
      <w:r>
        <w:rPr>
          <w:rFonts w:hint="eastAsia" w:ascii="仿宋" w:hAnsi="仿宋" w:eastAsia="仿宋" w:cs="仿宋"/>
          <w:bCs/>
          <w:kern w:val="0"/>
          <w:sz w:val="32"/>
          <w:szCs w:val="32"/>
        </w:rPr>
        <w:t>国有资本经营预算财政拨款收入支出决算情况说明</w:t>
      </w:r>
      <w:r>
        <w:rPr>
          <w:rFonts w:hint="eastAsia" w:ascii="仿宋" w:hAnsi="仿宋" w:eastAsia="仿宋" w:cs="仿宋"/>
          <w:kern w:val="0"/>
          <w:sz w:val="32"/>
          <w:szCs w:val="32"/>
        </w:rPr>
        <w:tab/>
      </w:r>
      <w:r>
        <w:rPr>
          <w:rFonts w:hint="eastAsia" w:ascii="仿宋" w:hAnsi="仿宋" w:eastAsia="仿宋" w:cs="仿宋"/>
          <w:kern w:val="0"/>
          <w:sz w:val="32"/>
          <w:szCs w:val="32"/>
        </w:rPr>
        <w:t>8</w:t>
      </w:r>
    </w:p>
    <w:p>
      <w:pPr>
        <w:rPr>
          <w:rFonts w:ascii="仿宋" w:hAnsi="仿宋" w:eastAsia="仿宋" w:cs="仿宋"/>
          <w:w w:val="98"/>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_Toc5978_WPSOffice_Level2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九、</w:t>
      </w:r>
      <w:r>
        <w:rPr>
          <w:rFonts w:hint="eastAsia" w:ascii="仿宋" w:hAnsi="仿宋" w:eastAsia="仿宋" w:cs="仿宋"/>
          <w:bCs/>
          <w:w w:val="98"/>
          <w:sz w:val="32"/>
          <w:szCs w:val="32"/>
        </w:rPr>
        <w:t>一般公共预算财政拨款“三公”经费支出决算情况说明</w:t>
      </w:r>
    </w:p>
    <w:p>
      <w:pPr>
        <w:widowControl/>
        <w:tabs>
          <w:tab w:val="right" w:leader="dot" w:pos="8306"/>
        </w:tabs>
        <w:jc w:val="left"/>
        <w:rPr>
          <w:rFonts w:ascii="仿宋" w:hAnsi="仿宋" w:eastAsia="仿宋" w:cs="仿宋"/>
          <w:kern w:val="0"/>
          <w:sz w:val="32"/>
          <w:szCs w:val="32"/>
        </w:rPr>
      </w:pPr>
      <w:r>
        <w:rPr>
          <w:rFonts w:hint="eastAsia" w:ascii="仿宋" w:hAnsi="仿宋" w:eastAsia="仿宋" w:cs="仿宋"/>
          <w:kern w:val="0"/>
          <w:sz w:val="32"/>
          <w:szCs w:val="32"/>
        </w:rPr>
        <w:tab/>
      </w:r>
      <w:r>
        <w:rPr>
          <w:rFonts w:hint="eastAsia" w:ascii="仿宋" w:hAnsi="仿宋" w:eastAsia="仿宋" w:cs="仿宋"/>
          <w:kern w:val="0"/>
          <w:sz w:val="32"/>
          <w:szCs w:val="32"/>
        </w:rPr>
        <w:fldChar w:fldCharType="end"/>
      </w:r>
      <w:r>
        <w:rPr>
          <w:rFonts w:hint="eastAsia" w:ascii="仿宋" w:hAnsi="仿宋" w:eastAsia="仿宋" w:cs="仿宋"/>
          <w:kern w:val="0"/>
          <w:sz w:val="32"/>
          <w:szCs w:val="32"/>
        </w:rPr>
        <w:t>8</w:t>
      </w:r>
    </w:p>
    <w:p>
      <w:pPr>
        <w:widowControl/>
        <w:tabs>
          <w:tab w:val="right" w:leader="dot" w:pos="8306"/>
        </w:tabs>
        <w:jc w:val="left"/>
        <w:rPr>
          <w:rFonts w:hint="eastAsia" w:ascii="仿宋" w:hAnsi="仿宋" w:eastAsia="仿宋" w:cs="仿宋"/>
          <w:kern w:val="0"/>
          <w:sz w:val="32"/>
          <w:szCs w:val="32"/>
          <w:highlight w:val="none"/>
          <w:lang w:eastAsia="zh-CN"/>
        </w:rPr>
      </w:pPr>
      <w:r>
        <w:fldChar w:fldCharType="begin"/>
      </w:r>
      <w:r>
        <w:instrText xml:space="preserve"> HYPERLINK \l "_Toc19535_WPSOffice_Level2" </w:instrText>
      </w:r>
      <w:r>
        <w:fldChar w:fldCharType="separate"/>
      </w:r>
      <w:r>
        <w:rPr>
          <w:rFonts w:hint="eastAsia" w:ascii="仿宋" w:hAnsi="仿宋" w:eastAsia="仿宋" w:cs="仿宋"/>
          <w:bCs/>
          <w:kern w:val="0"/>
          <w:sz w:val="32"/>
          <w:szCs w:val="32"/>
        </w:rPr>
        <w:t>十、预算绩效情况说明</w:t>
      </w:r>
      <w:r>
        <w:rPr>
          <w:rFonts w:hint="eastAsia" w:ascii="仿宋" w:hAnsi="仿宋" w:eastAsia="仿宋" w:cs="仿宋"/>
          <w:kern w:val="0"/>
          <w:sz w:val="32"/>
          <w:szCs w:val="32"/>
        </w:rPr>
        <w:tab/>
      </w:r>
      <w:r>
        <w:rPr>
          <w:rFonts w:hint="eastAsia" w:ascii="仿宋" w:hAnsi="仿宋" w:eastAsia="仿宋" w:cs="仿宋"/>
          <w:kern w:val="0"/>
          <w:sz w:val="32"/>
          <w:szCs w:val="32"/>
        </w:rPr>
        <w:fldChar w:fldCharType="end"/>
      </w:r>
      <w:r>
        <w:rPr>
          <w:rFonts w:hint="eastAsia" w:ascii="仿宋" w:hAnsi="仿宋" w:eastAsia="仿宋" w:cs="仿宋"/>
          <w:kern w:val="0"/>
          <w:sz w:val="32"/>
          <w:szCs w:val="32"/>
          <w:highlight w:val="none"/>
          <w:lang w:val="en-US" w:eastAsia="zh-CN"/>
        </w:rPr>
        <w:t>9</w:t>
      </w:r>
    </w:p>
    <w:p>
      <w:pPr>
        <w:widowControl/>
        <w:tabs>
          <w:tab w:val="right" w:leader="dot" w:pos="8306"/>
        </w:tabs>
        <w:jc w:val="left"/>
        <w:rPr>
          <w:rFonts w:hint="default" w:ascii="Times New Roman" w:hAnsi="Times New Roman" w:eastAsia="宋体" w:cs="Times New Roman"/>
          <w:kern w:val="0"/>
          <w:sz w:val="32"/>
          <w:szCs w:val="32"/>
          <w:highlight w:val="none"/>
          <w:lang w:val="en-US" w:eastAsia="zh-CN"/>
        </w:rPr>
      </w:pPr>
      <w:r>
        <w:rPr>
          <w:rFonts w:hint="eastAsia" w:ascii="仿宋" w:hAnsi="仿宋" w:eastAsia="仿宋" w:cs="仿宋"/>
          <w:bCs/>
          <w:kern w:val="0"/>
          <w:sz w:val="32"/>
          <w:szCs w:val="32"/>
          <w:highlight w:val="none"/>
        </w:rPr>
        <w:t>十</w:t>
      </w:r>
      <w:r>
        <w:rPr>
          <w:rFonts w:hint="eastAsia" w:ascii="仿宋" w:hAnsi="仿宋" w:eastAsia="仿宋" w:cs="仿宋"/>
          <w:bCs/>
          <w:kern w:val="0"/>
          <w:sz w:val="32"/>
          <w:szCs w:val="32"/>
          <w:highlight w:val="none"/>
          <w:lang w:val="en-US" w:eastAsia="zh-CN"/>
        </w:rPr>
        <w:t>一</w:t>
      </w:r>
      <w:r>
        <w:rPr>
          <w:rFonts w:hint="eastAsia" w:ascii="仿宋" w:hAnsi="仿宋" w:eastAsia="仿宋" w:cs="仿宋"/>
          <w:bCs/>
          <w:kern w:val="0"/>
          <w:sz w:val="32"/>
          <w:szCs w:val="32"/>
          <w:highlight w:val="none"/>
        </w:rPr>
        <w:t>、其他重要事项情况说明</w:t>
      </w:r>
      <w:r>
        <w:rPr>
          <w:rFonts w:hint="eastAsia" w:ascii="仿宋" w:hAnsi="仿宋" w:eastAsia="仿宋" w:cs="仿宋"/>
          <w:kern w:val="0"/>
          <w:sz w:val="32"/>
          <w:szCs w:val="32"/>
          <w:highlight w:val="none"/>
        </w:rPr>
        <w:tab/>
      </w:r>
      <w:r>
        <w:rPr>
          <w:rFonts w:hint="eastAsia" w:ascii="仿宋" w:hAnsi="仿宋" w:eastAsia="仿宋" w:cs="仿宋"/>
          <w:kern w:val="0"/>
          <w:sz w:val="32"/>
          <w:szCs w:val="32"/>
          <w:highlight w:val="none"/>
          <w:lang w:val="en-US" w:eastAsia="zh-CN"/>
        </w:rPr>
        <w:t>10</w:t>
      </w:r>
      <w:bookmarkEnd w:id="0"/>
    </w:p>
    <w:p>
      <w:pPr>
        <w:widowControl/>
        <w:tabs>
          <w:tab w:val="right" w:leader="dot" w:pos="8306"/>
        </w:tabs>
        <w:jc w:val="left"/>
        <w:rPr>
          <w:rFonts w:hint="eastAsia" w:ascii="Times New Roman" w:hAnsi="Times New Roman" w:eastAsia="宋体"/>
          <w:kern w:val="0"/>
          <w:sz w:val="32"/>
          <w:szCs w:val="32"/>
          <w:lang w:eastAsia="zh-CN"/>
        </w:rPr>
      </w:pPr>
      <w:r>
        <w:fldChar w:fldCharType="begin"/>
      </w:r>
      <w:r>
        <w:instrText xml:space="preserve"> HYPERLINK \l "_Toc15425_WPSOffice_Level1" </w:instrText>
      </w:r>
      <w:r>
        <w:fldChar w:fldCharType="separate"/>
      </w:r>
      <w:r>
        <w:rPr>
          <w:rFonts w:hint="eastAsia" w:ascii="黑体" w:hAnsi="??" w:eastAsia="黑体"/>
          <w:kern w:val="0"/>
          <w:sz w:val="32"/>
          <w:szCs w:val="32"/>
        </w:rPr>
        <w:t>第四部分</w:t>
      </w:r>
      <w:r>
        <w:rPr>
          <w:rFonts w:ascii="黑体" w:hAnsi="??" w:eastAsia="黑体"/>
          <w:kern w:val="0"/>
          <w:sz w:val="32"/>
          <w:szCs w:val="32"/>
        </w:rPr>
        <w:t xml:space="preserve">  </w:t>
      </w:r>
      <w:r>
        <w:rPr>
          <w:rFonts w:hint="eastAsia" w:ascii="黑体" w:hAnsi="??" w:eastAsia="黑体"/>
          <w:kern w:val="0"/>
          <w:sz w:val="32"/>
          <w:szCs w:val="32"/>
        </w:rPr>
        <w:t>名词解释</w:t>
      </w:r>
      <w:r>
        <w:rPr>
          <w:rFonts w:ascii="Times New Roman" w:hAnsi="Times New Roman"/>
          <w:kern w:val="0"/>
          <w:sz w:val="32"/>
          <w:szCs w:val="32"/>
        </w:rPr>
        <w:tab/>
      </w:r>
      <w:bookmarkStart w:id="1" w:name="_Toc15425_WPSOffice_Level1Page"/>
      <w:r>
        <w:rPr>
          <w:rFonts w:ascii="Times New Roman" w:hAnsi="Times New Roman"/>
          <w:kern w:val="0"/>
          <w:sz w:val="32"/>
          <w:szCs w:val="32"/>
        </w:rPr>
        <w:t>1</w:t>
      </w:r>
      <w:bookmarkEnd w:id="1"/>
      <w:r>
        <w:rPr>
          <w:rFonts w:ascii="Times New Roman" w:hAnsi="Times New Roman"/>
          <w:kern w:val="0"/>
          <w:sz w:val="32"/>
          <w:szCs w:val="32"/>
        </w:rPr>
        <w:fldChar w:fldCharType="end"/>
      </w:r>
      <w:r>
        <w:rPr>
          <w:rFonts w:hint="eastAsia" w:ascii="Times New Roman" w:hAnsi="Times New Roman"/>
          <w:kern w:val="0"/>
          <w:sz w:val="32"/>
          <w:szCs w:val="32"/>
          <w:lang w:val="en-US" w:eastAsia="zh-CN"/>
        </w:rPr>
        <w:t>1</w:t>
      </w:r>
    </w:p>
    <w:p>
      <w:pPr>
        <w:jc w:val="left"/>
        <w:rPr>
          <w:rFonts w:ascii="黑体" w:hAnsi="黑体" w:eastAsia="黑体" w:cs="黑体"/>
          <w:sz w:val="32"/>
          <w:szCs w:val="32"/>
        </w:rPr>
      </w:pPr>
    </w:p>
    <w:p>
      <w:pPr>
        <w:jc w:val="center"/>
        <w:rPr>
          <w:rFonts w:ascii="黑体" w:hAnsi="ˎ̥" w:eastAsia="黑体" w:cs="Times New Roman"/>
          <w:b/>
          <w:sz w:val="32"/>
          <w:szCs w:val="32"/>
        </w:rPr>
      </w:pPr>
    </w:p>
    <w:p>
      <w:pPr>
        <w:jc w:val="center"/>
        <w:rPr>
          <w:rFonts w:ascii="黑体" w:hAnsi="ˎ̥" w:eastAsia="黑体" w:cs="Times New Roman"/>
          <w:b/>
          <w:sz w:val="32"/>
          <w:szCs w:val="32"/>
        </w:rPr>
      </w:pPr>
    </w:p>
    <w:p>
      <w:pPr>
        <w:jc w:val="center"/>
        <w:rPr>
          <w:rFonts w:ascii="黑体" w:hAnsi="ˎ̥" w:eastAsia="黑体" w:cs="Times New Roman"/>
          <w:b/>
          <w:sz w:val="32"/>
          <w:szCs w:val="32"/>
        </w:rPr>
      </w:pPr>
    </w:p>
    <w:p>
      <w:pPr>
        <w:jc w:val="center"/>
        <w:rPr>
          <w:rFonts w:ascii="黑体" w:hAnsi="ˎ̥" w:eastAsia="黑体" w:cs="Times New Roman"/>
          <w:b/>
          <w:sz w:val="32"/>
          <w:szCs w:val="32"/>
        </w:rPr>
      </w:pPr>
    </w:p>
    <w:p>
      <w:pPr>
        <w:jc w:val="center"/>
        <w:rPr>
          <w:rFonts w:ascii="黑体" w:hAnsi="ˎ̥" w:eastAsia="黑体" w:cs="Times New Roman"/>
          <w:b/>
          <w:sz w:val="32"/>
          <w:szCs w:val="32"/>
        </w:rPr>
      </w:pPr>
    </w:p>
    <w:p>
      <w:pPr>
        <w:jc w:val="center"/>
        <w:rPr>
          <w:rFonts w:ascii="黑体" w:hAnsi="ˎ̥" w:eastAsia="黑体" w:cs="Times New Roman"/>
          <w:b/>
          <w:sz w:val="32"/>
          <w:szCs w:val="32"/>
        </w:rPr>
      </w:pPr>
    </w:p>
    <w:p>
      <w:pPr>
        <w:jc w:val="center"/>
        <w:rPr>
          <w:rFonts w:ascii="黑体" w:hAnsi="ˎ̥" w:eastAsia="黑体" w:cs="Times New Roman"/>
          <w:b/>
          <w:sz w:val="32"/>
          <w:szCs w:val="32"/>
        </w:rPr>
      </w:pPr>
    </w:p>
    <w:p>
      <w:pPr>
        <w:jc w:val="center"/>
        <w:rPr>
          <w:rFonts w:ascii="黑体" w:hAnsi="ˎ̥" w:eastAsia="黑体" w:cs="Times New Roman"/>
          <w:b/>
          <w:sz w:val="32"/>
          <w:szCs w:val="32"/>
        </w:rPr>
      </w:pPr>
    </w:p>
    <w:p>
      <w:pPr>
        <w:jc w:val="center"/>
        <w:rPr>
          <w:rFonts w:ascii="黑体" w:hAnsi="ˎ̥" w:eastAsia="黑体" w:cs="Times New Roman"/>
          <w:b/>
          <w:sz w:val="32"/>
          <w:szCs w:val="32"/>
        </w:rPr>
      </w:pPr>
    </w:p>
    <w:p>
      <w:pPr>
        <w:jc w:val="center"/>
        <w:rPr>
          <w:rFonts w:ascii="黑体" w:hAnsi="ˎ̥" w:eastAsia="黑体" w:cs="Times New Roman"/>
          <w:b/>
          <w:sz w:val="32"/>
          <w:szCs w:val="32"/>
        </w:rPr>
      </w:pPr>
    </w:p>
    <w:p>
      <w:pPr>
        <w:jc w:val="center"/>
        <w:rPr>
          <w:rFonts w:ascii="黑体" w:hAnsi="ˎ̥" w:eastAsia="黑体" w:cs="Times New Roman"/>
          <w:b/>
          <w:sz w:val="32"/>
          <w:szCs w:val="32"/>
        </w:rPr>
      </w:pPr>
    </w:p>
    <w:p>
      <w:pPr>
        <w:jc w:val="center"/>
        <w:rPr>
          <w:rFonts w:ascii="黑体" w:hAnsi="ˎ̥" w:eastAsia="黑体" w:cs="Times New Roman"/>
          <w:b/>
          <w:sz w:val="32"/>
          <w:szCs w:val="32"/>
        </w:rPr>
      </w:pPr>
    </w:p>
    <w:p>
      <w:pPr>
        <w:jc w:val="center"/>
        <w:rPr>
          <w:rFonts w:ascii="黑体" w:hAnsi="ˎ̥" w:eastAsia="黑体" w:cs="Times New Roman"/>
          <w:b/>
          <w:sz w:val="32"/>
          <w:szCs w:val="32"/>
        </w:rPr>
      </w:pPr>
    </w:p>
    <w:p>
      <w:pPr>
        <w:jc w:val="center"/>
        <w:rPr>
          <w:rFonts w:ascii="黑体" w:hAnsi="ˎ̥" w:eastAsia="黑体" w:cs="Times New Roman"/>
          <w:b/>
          <w:sz w:val="32"/>
          <w:szCs w:val="32"/>
        </w:rPr>
      </w:pPr>
    </w:p>
    <w:p>
      <w:pPr>
        <w:jc w:val="center"/>
        <w:rPr>
          <w:rFonts w:ascii="黑体" w:hAnsi="ˎ̥" w:eastAsia="黑体" w:cs="Times New Roman"/>
          <w:b/>
          <w:sz w:val="32"/>
          <w:szCs w:val="32"/>
        </w:rPr>
      </w:pPr>
    </w:p>
    <w:p>
      <w:pPr>
        <w:jc w:val="center"/>
        <w:rPr>
          <w:rFonts w:ascii="黑体" w:hAnsi="ˎ̥" w:eastAsia="黑体" w:cs="Times New Roman"/>
          <w:b/>
          <w:sz w:val="32"/>
          <w:szCs w:val="32"/>
        </w:rPr>
      </w:pPr>
    </w:p>
    <w:p>
      <w:pPr>
        <w:jc w:val="center"/>
        <w:rPr>
          <w:rFonts w:ascii="黑体" w:hAnsi="ˎ̥" w:eastAsia="黑体" w:cs="Times New Roman"/>
          <w:b/>
          <w:sz w:val="32"/>
          <w:szCs w:val="32"/>
        </w:rPr>
      </w:pPr>
    </w:p>
    <w:p>
      <w:pPr>
        <w:jc w:val="center"/>
        <w:rPr>
          <w:rFonts w:ascii="黑体" w:hAnsi="ˎ̥" w:eastAsia="黑体" w:cs="Times New Roman"/>
          <w:b/>
          <w:sz w:val="32"/>
          <w:szCs w:val="32"/>
        </w:rPr>
      </w:pPr>
    </w:p>
    <w:p>
      <w:pPr>
        <w:jc w:val="both"/>
        <w:rPr>
          <w:rFonts w:ascii="黑体" w:hAnsi="ˎ̥" w:eastAsia="黑体" w:cs="Times New Roman"/>
          <w:b/>
          <w:sz w:val="32"/>
          <w:szCs w:val="32"/>
        </w:rPr>
      </w:pPr>
    </w:p>
    <w:p>
      <w:pPr>
        <w:jc w:val="center"/>
        <w:rPr>
          <w:rFonts w:ascii="楷体" w:hAnsi="楷体" w:eastAsia="楷体" w:cs="楷体"/>
          <w:sz w:val="32"/>
          <w:szCs w:val="32"/>
        </w:rPr>
      </w:pPr>
      <w:bookmarkStart w:id="2" w:name="_Toc22941_WPSOffice_Level1"/>
      <w:bookmarkStart w:id="3" w:name="_Toc10720_WPSOffice_Level1"/>
      <w:bookmarkStart w:id="4" w:name="_Toc23465_WPSOffice_Level1"/>
      <w:bookmarkStart w:id="5" w:name="_Toc1704_WPSOffice_Level1"/>
      <w:bookmarkStart w:id="6" w:name="_Toc32433_WPSOffice_Level1"/>
      <w:bookmarkStart w:id="7" w:name="_Toc10049_WPSOffice_Level1"/>
      <w:bookmarkStart w:id="8" w:name="_Toc24238_WPSOffice_Level2"/>
      <w:bookmarkStart w:id="9" w:name="_Toc20205_WPSOffice_Level2"/>
      <w:bookmarkStart w:id="10" w:name="_Toc20274_WPSOffice_Level2"/>
      <w:bookmarkStart w:id="11" w:name="_Toc14159_WPSOffice_Level2"/>
      <w:bookmarkStart w:id="12" w:name="_Toc32622_WPSOffice_Level2"/>
      <w:bookmarkStart w:id="13" w:name="_Toc26580_WPSOffice_Level2"/>
      <w:r>
        <w:rPr>
          <w:rFonts w:hint="eastAsia" w:ascii="黑体" w:hAnsi="ˎ̥" w:eastAsia="黑体" w:cs="Times New Roman"/>
          <w:sz w:val="32"/>
          <w:szCs w:val="32"/>
        </w:rPr>
        <w:t>第一部分  三亚市天涯区</w:t>
      </w:r>
      <w:r>
        <w:rPr>
          <w:rFonts w:hint="eastAsia" w:ascii="黑体" w:hAnsi="ˎ̥" w:eastAsia="黑体" w:cs="Times New Roman"/>
          <w:sz w:val="32"/>
          <w:szCs w:val="32"/>
          <w:lang w:val="en-US" w:eastAsia="zh-CN"/>
        </w:rPr>
        <w:t>第二幼儿园</w:t>
      </w:r>
      <w:r>
        <w:rPr>
          <w:rFonts w:hint="eastAsia" w:ascii="黑体" w:hAnsi="ˎ̥" w:eastAsia="黑体" w:cs="Times New Roman"/>
          <w:sz w:val="32"/>
          <w:szCs w:val="32"/>
          <w:lang w:eastAsia="zh-CN"/>
        </w:rPr>
        <w:t>单位</w:t>
      </w:r>
      <w:r>
        <w:rPr>
          <w:rFonts w:hint="eastAsia" w:ascii="黑体" w:hAnsi="ˎ̥" w:eastAsia="黑体" w:cs="Times New Roman"/>
          <w:sz w:val="32"/>
          <w:szCs w:val="32"/>
        </w:rPr>
        <w:t>概况</w:t>
      </w:r>
      <w:bookmarkEnd w:id="2"/>
      <w:bookmarkEnd w:id="3"/>
      <w:bookmarkEnd w:id="4"/>
      <w:bookmarkEnd w:id="5"/>
      <w:bookmarkEnd w:id="6"/>
      <w:bookmarkEnd w:id="7"/>
    </w:p>
    <w:p>
      <w:pPr>
        <w:ind w:firstLine="640" w:firstLineChars="200"/>
        <w:rPr>
          <w:rFonts w:ascii="黑体" w:hAnsi="黑体" w:eastAsia="黑体" w:cs="黑体"/>
          <w:sz w:val="32"/>
          <w:szCs w:val="32"/>
        </w:rPr>
      </w:pPr>
      <w:r>
        <w:rPr>
          <w:rFonts w:hint="eastAsia" w:ascii="黑体" w:hAnsi="黑体" w:eastAsia="黑体" w:cs="黑体"/>
          <w:sz w:val="32"/>
          <w:szCs w:val="32"/>
        </w:rPr>
        <w:t>一、</w:t>
      </w:r>
      <w:bookmarkEnd w:id="8"/>
      <w:r>
        <w:rPr>
          <w:rFonts w:hint="eastAsia" w:ascii="黑体" w:hAnsi="黑体" w:eastAsia="黑体" w:cs="黑体"/>
          <w:sz w:val="32"/>
          <w:szCs w:val="32"/>
          <w:lang w:val="en-US" w:eastAsia="zh-CN"/>
        </w:rPr>
        <w:t>单位</w:t>
      </w:r>
      <w:r>
        <w:rPr>
          <w:rFonts w:hint="eastAsia" w:ascii="黑体" w:hAnsi="黑体" w:eastAsia="黑体" w:cs="黑体"/>
          <w:sz w:val="32"/>
          <w:szCs w:val="32"/>
        </w:rPr>
        <w:t>职责</w:t>
      </w:r>
      <w:bookmarkEnd w:id="9"/>
      <w:bookmarkEnd w:id="10"/>
      <w:bookmarkEnd w:id="11"/>
      <w:bookmarkEnd w:id="12"/>
      <w:bookmarkEnd w:id="13"/>
    </w:p>
    <w:p>
      <w:pPr>
        <w:pStyle w:val="10"/>
        <w:ind w:firstLineChars="0"/>
        <w:jc w:val="left"/>
        <w:rPr>
          <w:rFonts w:ascii="黑体" w:hAnsi="黑体" w:eastAsia="黑体" w:cs="仿宋_GB2312"/>
          <w:sz w:val="32"/>
          <w:szCs w:val="32"/>
        </w:rPr>
      </w:pPr>
      <w:bookmarkStart w:id="14" w:name="_Toc17796_WPSOffice_Level2"/>
      <w:bookmarkStart w:id="15" w:name="_Toc24059_WPSOffice_Level2"/>
      <w:bookmarkStart w:id="16" w:name="_Toc4833_WPSOffice_Level2"/>
      <w:bookmarkStart w:id="17" w:name="_Toc24474_WPSOffice_Level2"/>
      <w:bookmarkStart w:id="18" w:name="_Toc6572_WPSOffice_Level2"/>
      <w:r>
        <w:rPr>
          <w:rFonts w:hint="eastAsia" w:ascii="仿宋_GB2312" w:eastAsia="仿宋_GB2312"/>
          <w:color w:val="000000"/>
          <w:sz w:val="32"/>
          <w:szCs w:val="32"/>
          <w:shd w:val="clear" w:color="auto" w:fill="FFFFFF"/>
          <w:lang w:val="en-US" w:eastAsia="zh-CN"/>
        </w:rPr>
        <w:t>三亚市天涯区第二幼儿园主要职能为幼儿教育</w:t>
      </w:r>
      <w:r>
        <w:rPr>
          <w:rFonts w:hint="eastAsia" w:ascii="仿宋_GB2312" w:eastAsia="仿宋_GB2312"/>
          <w:color w:val="000000"/>
          <w:sz w:val="32"/>
          <w:szCs w:val="32"/>
          <w:shd w:val="clear" w:color="auto" w:fill="FFFFFF"/>
        </w:rPr>
        <w:t>。</w:t>
      </w:r>
    </w:p>
    <w:p>
      <w:pPr>
        <w:ind w:firstLine="640" w:firstLineChars="200"/>
        <w:rPr>
          <w:rFonts w:ascii="黑体" w:hAnsi="黑体" w:eastAsia="黑体" w:cs="黑体"/>
          <w:sz w:val="32"/>
          <w:szCs w:val="32"/>
        </w:rPr>
      </w:pPr>
      <w:r>
        <w:rPr>
          <w:rFonts w:hint="eastAsia" w:ascii="黑体" w:hAnsi="黑体" w:eastAsia="黑体" w:cs="黑体"/>
          <w:sz w:val="32"/>
          <w:szCs w:val="32"/>
        </w:rPr>
        <w:t>二、机构设置</w:t>
      </w:r>
      <w:bookmarkEnd w:id="14"/>
      <w:bookmarkEnd w:id="15"/>
      <w:bookmarkEnd w:id="16"/>
      <w:bookmarkEnd w:id="17"/>
      <w:bookmarkEnd w:id="18"/>
    </w:p>
    <w:p>
      <w:pPr>
        <w:ind w:firstLine="640" w:firstLineChars="200"/>
        <w:rPr>
          <w:rFonts w:ascii="仿宋_GB2312" w:hAnsi="ˎ̥" w:eastAsia="仿宋_GB2312" w:cs="Times New Roman"/>
          <w:sz w:val="32"/>
          <w:szCs w:val="32"/>
        </w:rPr>
      </w:pPr>
      <w:bookmarkStart w:id="19" w:name="_Toc30451_WPSOffice_Level1"/>
      <w:bookmarkStart w:id="20" w:name="_Toc28253_WPSOffice_Level1"/>
      <w:bookmarkStart w:id="21" w:name="_Toc8164_WPSOffice_Level1"/>
      <w:bookmarkStart w:id="22" w:name="_Toc15521_WPSOffice_Level1"/>
      <w:bookmarkStart w:id="23" w:name="_Toc30690_WPSOffice_Level1"/>
      <w:bookmarkStart w:id="24" w:name="_Toc6234_WPSOffice_Level1"/>
      <w:bookmarkStart w:id="25" w:name="_Toc6211_WPSOffice_Level2"/>
      <w:bookmarkStart w:id="26" w:name="_Toc8867_WPSOffice_Level2"/>
      <w:bookmarkStart w:id="27" w:name="_Toc32695_WPSOffice_Level2"/>
      <w:bookmarkStart w:id="28" w:name="_Toc32472_WPSOffice_Level2"/>
      <w:bookmarkStart w:id="29" w:name="_Toc4029_WPSOffice_Level2"/>
      <w:bookmarkStart w:id="30" w:name="_Toc11518_WPSOffice_Level2"/>
      <w:r>
        <w:rPr>
          <w:rFonts w:hint="eastAsia" w:ascii="仿宋_GB2312" w:hAnsi="ˎ̥" w:eastAsia="仿宋_GB2312" w:cs="Times New Roman"/>
          <w:sz w:val="32"/>
          <w:szCs w:val="32"/>
        </w:rPr>
        <w:t>单位内设机构即包括：</w:t>
      </w:r>
    </w:p>
    <w:p>
      <w:pPr>
        <w:ind w:firstLine="640" w:firstLineChars="200"/>
        <w:rPr>
          <w:rFonts w:hint="default" w:ascii="楷体" w:hAnsi="楷体" w:eastAsia="楷体" w:cs="楷体"/>
          <w:sz w:val="32"/>
          <w:szCs w:val="32"/>
          <w:lang w:val="en-US" w:eastAsia="zh-CN"/>
        </w:rPr>
      </w:pPr>
      <w:bookmarkStart w:id="31" w:name="_Toc24421_WPSOffice_Level2"/>
      <w:bookmarkStart w:id="32" w:name="_Toc25738_WPSOffice_Level2"/>
      <w:r>
        <w:rPr>
          <w:rFonts w:hint="eastAsia" w:ascii="楷体" w:hAnsi="楷体" w:eastAsia="楷体" w:cs="楷体"/>
          <w:sz w:val="32"/>
          <w:szCs w:val="32"/>
        </w:rPr>
        <w:t>（一）</w:t>
      </w:r>
      <w:bookmarkEnd w:id="31"/>
      <w:bookmarkEnd w:id="32"/>
      <w:r>
        <w:rPr>
          <w:rFonts w:hint="eastAsia" w:ascii="楷体" w:hAnsi="楷体" w:eastAsia="楷体" w:cs="楷体"/>
          <w:sz w:val="32"/>
          <w:szCs w:val="32"/>
          <w:lang w:val="en-US" w:eastAsia="zh-CN"/>
        </w:rPr>
        <w:t>园长办公室</w:t>
      </w:r>
    </w:p>
    <w:p>
      <w:pPr>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rPr>
        <w:t>（二）</w:t>
      </w:r>
      <w:r>
        <w:rPr>
          <w:rFonts w:hint="eastAsia" w:ascii="楷体" w:hAnsi="楷体" w:eastAsia="楷体" w:cs="楷体"/>
          <w:sz w:val="32"/>
          <w:szCs w:val="32"/>
          <w:lang w:val="en-US" w:eastAsia="zh-CN"/>
        </w:rPr>
        <w:t>保健室</w:t>
      </w:r>
    </w:p>
    <w:p>
      <w:pPr>
        <w:ind w:firstLine="640" w:firstLineChars="200"/>
        <w:rPr>
          <w:rFonts w:hint="eastAsia" w:ascii="楷体" w:hAnsi="楷体" w:eastAsia="楷体" w:cs="楷体"/>
          <w:sz w:val="32"/>
          <w:szCs w:val="32"/>
          <w:lang w:val="en-US" w:eastAsia="zh-CN"/>
        </w:rPr>
      </w:pPr>
      <w:bookmarkStart w:id="33" w:name="_Toc19721_WPSOffice_Level2"/>
      <w:bookmarkStart w:id="34" w:name="_Toc4442_WPSOffice_Level2"/>
      <w:r>
        <w:rPr>
          <w:rFonts w:hint="eastAsia" w:ascii="楷体" w:hAnsi="楷体" w:eastAsia="楷体" w:cs="楷体"/>
          <w:sz w:val="32"/>
          <w:szCs w:val="32"/>
        </w:rPr>
        <w:t>（三）</w:t>
      </w:r>
      <w:bookmarkEnd w:id="33"/>
      <w:bookmarkEnd w:id="34"/>
      <w:r>
        <w:rPr>
          <w:rFonts w:hint="eastAsia" w:ascii="楷体" w:hAnsi="楷体" w:eastAsia="楷体" w:cs="楷体"/>
          <w:sz w:val="32"/>
          <w:szCs w:val="32"/>
          <w:lang w:val="en-US" w:eastAsia="zh-CN"/>
        </w:rPr>
        <w:t>办公室</w:t>
      </w:r>
    </w:p>
    <w:p>
      <w:pPr>
        <w:ind w:firstLine="640" w:firstLineChars="200"/>
        <w:rPr>
          <w:rFonts w:hint="default" w:ascii="楷体" w:hAnsi="楷体" w:eastAsia="楷体" w:cs="楷体"/>
          <w:sz w:val="32"/>
          <w:szCs w:val="32"/>
          <w:lang w:val="en-US" w:eastAsia="zh-CN"/>
        </w:rPr>
      </w:pPr>
      <w:r>
        <w:rPr>
          <w:rFonts w:hint="eastAsia" w:ascii="楷体" w:hAnsi="楷体" w:eastAsia="楷体" w:cs="楷体"/>
          <w:sz w:val="32"/>
          <w:szCs w:val="32"/>
        </w:rPr>
        <w:t>（四）</w:t>
      </w:r>
      <w:r>
        <w:rPr>
          <w:rFonts w:hint="eastAsia" w:ascii="楷体" w:hAnsi="楷体" w:eastAsia="楷体" w:cs="楷体"/>
          <w:sz w:val="32"/>
          <w:szCs w:val="32"/>
          <w:lang w:val="en-US" w:eastAsia="zh-CN"/>
        </w:rPr>
        <w:t>财务室</w:t>
      </w:r>
    </w:p>
    <w:p>
      <w:pPr>
        <w:jc w:val="center"/>
        <w:rPr>
          <w:rFonts w:ascii="黑体" w:hAnsi="ˎ̥" w:eastAsia="黑体" w:cs="Times New Roman"/>
          <w:sz w:val="32"/>
          <w:szCs w:val="32"/>
        </w:rPr>
      </w:pPr>
      <w:r>
        <w:rPr>
          <w:rFonts w:hint="eastAsia" w:ascii="黑体" w:hAnsi="ˎ̥" w:eastAsia="黑体" w:cs="Times New Roman"/>
          <w:sz w:val="32"/>
          <w:szCs w:val="32"/>
        </w:rPr>
        <w:t>第二部分  三亚市天涯区</w:t>
      </w:r>
      <w:r>
        <w:rPr>
          <w:rFonts w:hint="eastAsia" w:ascii="黑体" w:hAnsi="ˎ̥" w:eastAsia="黑体" w:cs="Times New Roman"/>
          <w:sz w:val="32"/>
          <w:szCs w:val="32"/>
          <w:lang w:val="en-US" w:eastAsia="zh-CN"/>
        </w:rPr>
        <w:t>第二幼儿园</w:t>
      </w:r>
      <w:r>
        <w:rPr>
          <w:rFonts w:hint="eastAsia" w:ascii="黑体" w:hAnsi="ˎ̥" w:eastAsia="黑体" w:cs="Times New Roman"/>
          <w:sz w:val="32"/>
          <w:szCs w:val="32"/>
          <w:lang w:eastAsia="zh-CN"/>
        </w:rPr>
        <w:t>202</w:t>
      </w:r>
      <w:r>
        <w:rPr>
          <w:rFonts w:hint="eastAsia" w:ascii="黑体" w:hAnsi="ˎ̥" w:eastAsia="黑体" w:cs="Times New Roman"/>
          <w:sz w:val="32"/>
          <w:szCs w:val="32"/>
          <w:lang w:val="en-US" w:eastAsia="zh-CN"/>
        </w:rPr>
        <w:t>2</w:t>
      </w:r>
      <w:r>
        <w:rPr>
          <w:rFonts w:hint="eastAsia" w:ascii="黑体" w:hAnsi="ˎ̥" w:eastAsia="黑体" w:cs="Times New Roman"/>
          <w:sz w:val="32"/>
          <w:szCs w:val="32"/>
        </w:rPr>
        <w:t>年度</w:t>
      </w:r>
      <w:r>
        <w:rPr>
          <w:rFonts w:hint="eastAsia" w:ascii="黑体" w:hAnsi="ˎ̥" w:eastAsia="黑体" w:cs="Times New Roman"/>
          <w:sz w:val="32"/>
          <w:szCs w:val="32"/>
          <w:lang w:val="en-US" w:eastAsia="zh-CN"/>
        </w:rPr>
        <w:t>部门</w:t>
      </w:r>
      <w:r>
        <w:rPr>
          <w:rFonts w:hint="eastAsia" w:ascii="黑体" w:hAnsi="ˎ̥" w:eastAsia="黑体" w:cs="Times New Roman"/>
          <w:sz w:val="32"/>
          <w:szCs w:val="32"/>
        </w:rPr>
        <w:t>决算公开报表</w:t>
      </w:r>
      <w:bookmarkEnd w:id="19"/>
      <w:bookmarkEnd w:id="20"/>
      <w:bookmarkEnd w:id="21"/>
      <w:bookmarkEnd w:id="22"/>
      <w:bookmarkEnd w:id="23"/>
      <w:bookmarkEnd w:id="24"/>
    </w:p>
    <w:p>
      <w:pPr>
        <w:ind w:firstLine="645"/>
        <w:rPr>
          <w:rFonts w:ascii="黑体" w:hAnsi="黑体" w:eastAsia="黑体" w:cs="黑体"/>
          <w:sz w:val="32"/>
          <w:szCs w:val="32"/>
        </w:rPr>
      </w:pPr>
      <w:r>
        <w:rPr>
          <w:rFonts w:hint="eastAsia" w:ascii="黑体" w:hAnsi="黑体" w:eastAsia="黑体" w:cs="黑体"/>
          <w:sz w:val="32"/>
          <w:szCs w:val="32"/>
        </w:rPr>
        <w:t>一、收入支出决算公开表（见正文附件）</w:t>
      </w:r>
      <w:bookmarkEnd w:id="25"/>
      <w:bookmarkEnd w:id="26"/>
      <w:bookmarkEnd w:id="27"/>
      <w:r>
        <w:rPr>
          <w:rFonts w:hint="eastAsia" w:ascii="黑体" w:hAnsi="黑体" w:eastAsia="黑体" w:cs="黑体"/>
          <w:sz w:val="32"/>
          <w:szCs w:val="32"/>
        </w:rPr>
        <w:t>。</w:t>
      </w:r>
      <w:bookmarkEnd w:id="28"/>
      <w:bookmarkEnd w:id="29"/>
      <w:bookmarkEnd w:id="30"/>
    </w:p>
    <w:p>
      <w:pPr>
        <w:ind w:firstLine="645"/>
        <w:rPr>
          <w:rFonts w:ascii="黑体" w:hAnsi="黑体" w:eastAsia="黑体" w:cs="黑体"/>
          <w:sz w:val="32"/>
          <w:szCs w:val="32"/>
        </w:rPr>
      </w:pPr>
      <w:bookmarkStart w:id="35" w:name="_Toc26621_WPSOffice_Level2"/>
      <w:bookmarkStart w:id="36" w:name="_Toc25608_WPSOffice_Level2"/>
      <w:bookmarkStart w:id="37" w:name="_Toc23139_WPSOffice_Level2"/>
      <w:bookmarkStart w:id="38" w:name="_Toc28622_WPSOffice_Level2"/>
      <w:bookmarkStart w:id="39" w:name="_Toc14349_WPSOffice_Level2"/>
      <w:bookmarkStart w:id="40" w:name="_Toc30334_WPSOffice_Level2"/>
      <w:r>
        <w:rPr>
          <w:rFonts w:hint="eastAsia" w:ascii="黑体" w:hAnsi="黑体" w:eastAsia="黑体" w:cs="黑体"/>
          <w:sz w:val="32"/>
          <w:szCs w:val="32"/>
        </w:rPr>
        <w:t>二、收入决算公开表（见正文附件）</w:t>
      </w:r>
      <w:bookmarkEnd w:id="35"/>
      <w:bookmarkEnd w:id="36"/>
      <w:bookmarkEnd w:id="37"/>
      <w:r>
        <w:rPr>
          <w:rFonts w:hint="eastAsia" w:ascii="黑体" w:hAnsi="黑体" w:eastAsia="黑体" w:cs="黑体"/>
          <w:sz w:val="32"/>
          <w:szCs w:val="32"/>
        </w:rPr>
        <w:t>。</w:t>
      </w:r>
      <w:bookmarkEnd w:id="38"/>
      <w:bookmarkEnd w:id="39"/>
      <w:bookmarkEnd w:id="40"/>
    </w:p>
    <w:p>
      <w:pPr>
        <w:ind w:firstLine="645"/>
        <w:rPr>
          <w:rFonts w:ascii="黑体" w:hAnsi="黑体" w:eastAsia="黑体" w:cs="黑体"/>
          <w:sz w:val="32"/>
          <w:szCs w:val="32"/>
        </w:rPr>
      </w:pPr>
      <w:bookmarkStart w:id="41" w:name="_Toc17858_WPSOffice_Level2"/>
      <w:bookmarkStart w:id="42" w:name="_Toc3262_WPSOffice_Level2"/>
      <w:bookmarkStart w:id="43" w:name="_Toc17626_WPSOffice_Level2"/>
      <w:bookmarkStart w:id="44" w:name="_Toc13854_WPSOffice_Level2"/>
      <w:bookmarkStart w:id="45" w:name="_Toc5489_WPSOffice_Level2"/>
      <w:bookmarkStart w:id="46" w:name="_Toc14658_WPSOffice_Level2"/>
      <w:r>
        <w:rPr>
          <w:rFonts w:hint="eastAsia" w:ascii="黑体" w:hAnsi="黑体" w:eastAsia="黑体" w:cs="黑体"/>
          <w:sz w:val="32"/>
          <w:szCs w:val="32"/>
        </w:rPr>
        <w:t>三、支出决算公开表（见正文附件）</w:t>
      </w:r>
      <w:bookmarkEnd w:id="41"/>
      <w:bookmarkEnd w:id="42"/>
      <w:bookmarkEnd w:id="43"/>
      <w:r>
        <w:rPr>
          <w:rFonts w:hint="eastAsia" w:ascii="黑体" w:hAnsi="黑体" w:eastAsia="黑体" w:cs="黑体"/>
          <w:sz w:val="32"/>
          <w:szCs w:val="32"/>
        </w:rPr>
        <w:t>。</w:t>
      </w:r>
      <w:bookmarkEnd w:id="44"/>
      <w:bookmarkEnd w:id="45"/>
      <w:bookmarkEnd w:id="46"/>
    </w:p>
    <w:p>
      <w:pPr>
        <w:ind w:firstLine="645"/>
        <w:rPr>
          <w:rFonts w:ascii="黑体" w:hAnsi="黑体" w:eastAsia="黑体" w:cs="黑体"/>
          <w:sz w:val="32"/>
          <w:szCs w:val="32"/>
        </w:rPr>
      </w:pPr>
      <w:bookmarkStart w:id="47" w:name="_Toc23591_WPSOffice_Level2"/>
      <w:bookmarkStart w:id="48" w:name="_Toc21415_WPSOffice_Level2"/>
      <w:bookmarkStart w:id="49" w:name="_Toc13701_WPSOffice_Level2"/>
      <w:bookmarkStart w:id="50" w:name="_Toc23493_WPSOffice_Level2"/>
      <w:bookmarkStart w:id="51" w:name="_Toc4265_WPSOffice_Level2"/>
      <w:bookmarkStart w:id="52" w:name="_Toc7988_WPSOffice_Level2"/>
      <w:r>
        <w:rPr>
          <w:rFonts w:hint="eastAsia" w:ascii="黑体" w:hAnsi="黑体" w:eastAsia="黑体" w:cs="黑体"/>
          <w:sz w:val="32"/>
          <w:szCs w:val="32"/>
        </w:rPr>
        <w:t>四、财政拨款收入支出决算公开表（见正文附件）</w:t>
      </w:r>
      <w:bookmarkEnd w:id="47"/>
      <w:bookmarkEnd w:id="48"/>
      <w:bookmarkEnd w:id="49"/>
      <w:r>
        <w:rPr>
          <w:rFonts w:hint="eastAsia" w:ascii="黑体" w:hAnsi="黑体" w:eastAsia="黑体" w:cs="黑体"/>
          <w:sz w:val="32"/>
          <w:szCs w:val="32"/>
        </w:rPr>
        <w:t>。</w:t>
      </w:r>
      <w:bookmarkEnd w:id="50"/>
      <w:bookmarkEnd w:id="51"/>
      <w:bookmarkEnd w:id="52"/>
    </w:p>
    <w:p>
      <w:pPr>
        <w:ind w:firstLine="645"/>
        <w:rPr>
          <w:rFonts w:ascii="黑体" w:hAnsi="黑体" w:eastAsia="黑体" w:cs="黑体"/>
          <w:sz w:val="32"/>
          <w:szCs w:val="32"/>
        </w:rPr>
      </w:pPr>
      <w:bookmarkStart w:id="53" w:name="_Toc25166_WPSOffice_Level2"/>
      <w:bookmarkStart w:id="54" w:name="_Toc7879_WPSOffice_Level2"/>
      <w:bookmarkStart w:id="55" w:name="_Toc22783_WPSOffice_Level2"/>
      <w:bookmarkStart w:id="56" w:name="_Toc23829_WPSOffice_Level2"/>
      <w:bookmarkStart w:id="57" w:name="_Toc2158_WPSOffice_Level2"/>
      <w:bookmarkStart w:id="58" w:name="_Toc13516_WPSOffice_Level2"/>
      <w:r>
        <w:rPr>
          <w:rFonts w:hint="eastAsia" w:ascii="黑体" w:hAnsi="黑体" w:eastAsia="黑体" w:cs="黑体"/>
          <w:sz w:val="32"/>
          <w:szCs w:val="32"/>
        </w:rPr>
        <w:t>五、一般公共预算财政拨款收入支出决算</w:t>
      </w:r>
      <w:bookmarkEnd w:id="53"/>
      <w:bookmarkEnd w:id="54"/>
      <w:bookmarkEnd w:id="55"/>
      <w:bookmarkEnd w:id="56"/>
      <w:r>
        <w:rPr>
          <w:rFonts w:hint="eastAsia" w:ascii="黑体" w:hAnsi="黑体" w:eastAsia="黑体" w:cs="黑体"/>
          <w:sz w:val="32"/>
          <w:szCs w:val="32"/>
        </w:rPr>
        <w:t>公开表（见正文附件）</w:t>
      </w:r>
      <w:bookmarkEnd w:id="57"/>
      <w:bookmarkEnd w:id="58"/>
      <w:r>
        <w:rPr>
          <w:rFonts w:hint="eastAsia" w:ascii="黑体" w:hAnsi="黑体" w:eastAsia="黑体" w:cs="黑体"/>
          <w:sz w:val="32"/>
          <w:szCs w:val="32"/>
        </w:rPr>
        <w:t>。</w:t>
      </w:r>
    </w:p>
    <w:p>
      <w:pPr>
        <w:ind w:firstLine="645"/>
        <w:rPr>
          <w:rFonts w:ascii="黑体" w:hAnsi="黑体" w:eastAsia="黑体" w:cs="黑体"/>
          <w:sz w:val="32"/>
          <w:szCs w:val="32"/>
        </w:rPr>
      </w:pPr>
      <w:bookmarkStart w:id="59" w:name="_Toc25362_WPSOffice_Level2"/>
      <w:bookmarkStart w:id="60" w:name="_Toc5343_WPSOffice_Level2"/>
      <w:bookmarkStart w:id="61" w:name="_Toc2632_WPSOffice_Level2"/>
      <w:bookmarkStart w:id="62" w:name="_Toc17283_WPSOffice_Level2"/>
      <w:bookmarkStart w:id="63" w:name="_Toc17833_WPSOffice_Level2"/>
      <w:bookmarkStart w:id="64" w:name="_Toc8373_WPSOffice_Level2"/>
      <w:r>
        <w:rPr>
          <w:rFonts w:hint="eastAsia" w:ascii="黑体" w:hAnsi="黑体" w:eastAsia="黑体" w:cs="黑体"/>
          <w:sz w:val="32"/>
          <w:szCs w:val="32"/>
        </w:rPr>
        <w:t>六、一般公共预算财政拨款基本支出决算</w:t>
      </w:r>
      <w:bookmarkEnd w:id="59"/>
      <w:bookmarkEnd w:id="60"/>
      <w:bookmarkEnd w:id="61"/>
      <w:bookmarkEnd w:id="62"/>
      <w:bookmarkEnd w:id="63"/>
      <w:bookmarkEnd w:id="64"/>
      <w:r>
        <w:rPr>
          <w:rFonts w:hint="eastAsia" w:ascii="黑体" w:hAnsi="黑体" w:eastAsia="黑体" w:cs="黑体"/>
          <w:sz w:val="32"/>
          <w:szCs w:val="32"/>
        </w:rPr>
        <w:t>公开表（见正文附件）。</w:t>
      </w:r>
    </w:p>
    <w:p>
      <w:pPr>
        <w:ind w:left="1118" w:leftChars="304" w:hanging="480" w:hangingChars="150"/>
        <w:rPr>
          <w:rFonts w:ascii="黑体" w:hAnsi="黑体" w:eastAsia="黑体" w:cs="黑体"/>
          <w:sz w:val="32"/>
          <w:szCs w:val="32"/>
        </w:rPr>
      </w:pPr>
      <w:bookmarkStart w:id="65" w:name="_Toc11799_WPSOffice_Level2"/>
      <w:bookmarkStart w:id="66" w:name="_Toc5594_WPSOffice_Level2"/>
      <w:bookmarkStart w:id="67" w:name="_Toc13345_WPSOffice_Level2"/>
      <w:bookmarkStart w:id="68" w:name="_Toc21310_WPSOffice_Level2"/>
      <w:bookmarkStart w:id="69" w:name="_Toc6020_WPSOffice_Level2"/>
      <w:bookmarkStart w:id="70" w:name="_Toc1533_WPSOffice_Level2"/>
      <w:r>
        <w:rPr>
          <w:rFonts w:hint="eastAsia" w:ascii="黑体" w:hAnsi="黑体" w:eastAsia="黑体" w:cs="黑体"/>
          <w:sz w:val="32"/>
          <w:szCs w:val="32"/>
        </w:rPr>
        <w:t>七、政府性基金预算财政拨款收入支出决算</w:t>
      </w:r>
      <w:bookmarkEnd w:id="65"/>
      <w:bookmarkEnd w:id="66"/>
      <w:bookmarkEnd w:id="67"/>
      <w:bookmarkEnd w:id="68"/>
      <w:bookmarkEnd w:id="69"/>
      <w:bookmarkEnd w:id="70"/>
      <w:r>
        <w:rPr>
          <w:rFonts w:hint="eastAsia" w:ascii="黑体" w:hAnsi="黑体" w:eastAsia="黑体" w:cs="黑体"/>
          <w:sz w:val="32"/>
          <w:szCs w:val="32"/>
        </w:rPr>
        <w:t>公开表（见正文附件）。</w:t>
      </w:r>
    </w:p>
    <w:p>
      <w:pPr>
        <w:ind w:left="1118" w:leftChars="304" w:hanging="480" w:hangingChars="150"/>
        <w:rPr>
          <w:rFonts w:ascii="黑体" w:hAnsi="黑体" w:eastAsia="黑体" w:cs="黑体"/>
          <w:sz w:val="32"/>
          <w:szCs w:val="32"/>
        </w:rPr>
      </w:pPr>
      <w:r>
        <w:rPr>
          <w:rFonts w:hint="eastAsia" w:ascii="黑体" w:hAnsi="黑体" w:eastAsia="黑体" w:cs="黑体"/>
          <w:sz w:val="32"/>
          <w:szCs w:val="32"/>
        </w:rPr>
        <w:t>八、国有资本经营预算财政拨款收入支出决算公开</w:t>
      </w:r>
      <w:r>
        <w:rPr>
          <w:rFonts w:hint="eastAsia" w:ascii="黑体" w:hAnsi="黑体" w:eastAsia="黑体" w:cs="黑体"/>
          <w:sz w:val="32"/>
          <w:szCs w:val="32"/>
          <w:lang w:val="en-US" w:eastAsia="zh-CN"/>
        </w:rPr>
        <w:t>表</w:t>
      </w:r>
      <w:r>
        <w:rPr>
          <w:rFonts w:hint="eastAsia" w:ascii="黑体" w:hAnsi="黑体" w:eastAsia="黑体" w:cs="黑体"/>
          <w:sz w:val="32"/>
          <w:szCs w:val="32"/>
        </w:rPr>
        <w:t>（见正文附件）。</w:t>
      </w:r>
    </w:p>
    <w:p>
      <w:pPr>
        <w:rPr>
          <w:rFonts w:ascii="黑体" w:hAnsi="黑体" w:eastAsia="黑体" w:cs="黑体"/>
          <w:sz w:val="32"/>
          <w:szCs w:val="32"/>
        </w:rPr>
      </w:pPr>
      <w:bookmarkStart w:id="71" w:name="_Toc29886_WPSOffice_Level2"/>
      <w:bookmarkStart w:id="72" w:name="_Toc19961_WPSOffice_Level2"/>
      <w:bookmarkStart w:id="73" w:name="_Toc9377_WPSOffice_Level2"/>
      <w:bookmarkStart w:id="74" w:name="_Toc1820_WPSOffice_Level2"/>
      <w:r>
        <w:rPr>
          <w:rFonts w:hint="eastAsia" w:ascii="黑体" w:hAnsi="黑体" w:eastAsia="黑体" w:cs="黑体"/>
          <w:sz w:val="32"/>
          <w:szCs w:val="32"/>
        </w:rPr>
        <w:t xml:space="preserve">    </w:t>
      </w:r>
      <w:bookmarkEnd w:id="71"/>
      <w:bookmarkEnd w:id="72"/>
      <w:bookmarkEnd w:id="73"/>
      <w:bookmarkEnd w:id="74"/>
      <w:r>
        <w:rPr>
          <w:rFonts w:hint="eastAsia" w:ascii="黑体" w:hAnsi="黑体" w:eastAsia="黑体" w:cs="黑体"/>
          <w:sz w:val="32"/>
          <w:szCs w:val="32"/>
        </w:rPr>
        <w:t>九、一般公共预算财政拨款“三公”经费支出决算公开表（见正文附件）。</w:t>
      </w:r>
    </w:p>
    <w:p>
      <w:pPr>
        <w:rPr>
          <w:rFonts w:ascii="黑体" w:hAnsi="黑体" w:eastAsia="黑体" w:cs="黑体"/>
          <w:sz w:val="32"/>
          <w:szCs w:val="32"/>
        </w:rPr>
      </w:pPr>
      <w:r>
        <w:rPr>
          <w:rFonts w:ascii="黑体" w:hAnsi="黑体" w:eastAsia="黑体" w:cs="黑体"/>
          <w:w w:val="96"/>
          <w:sz w:val="32"/>
          <w:szCs w:val="32"/>
        </w:rPr>
        <w:t xml:space="preserve">    </w:t>
      </w:r>
      <w:r>
        <w:rPr>
          <w:rFonts w:hint="eastAsia" w:ascii="黑体" w:hAnsi="黑体" w:eastAsia="黑体" w:cs="黑体"/>
          <w:w w:val="96"/>
          <w:sz w:val="32"/>
          <w:szCs w:val="32"/>
        </w:rPr>
        <w:t>十、政府性基金预算财政拨款“三公”经费支出决算公开表</w:t>
      </w:r>
      <w:r>
        <w:rPr>
          <w:rFonts w:hint="eastAsia" w:ascii="黑体" w:hAnsi="黑体" w:eastAsia="黑体" w:cs="黑体"/>
          <w:sz w:val="32"/>
          <w:szCs w:val="32"/>
        </w:rPr>
        <w:t>（见正文附件）。</w:t>
      </w:r>
    </w:p>
    <w:p>
      <w:pPr>
        <w:rPr>
          <w:rFonts w:ascii="黑体" w:hAnsi="黑体" w:eastAsia="黑体" w:cs="黑体"/>
          <w:sz w:val="32"/>
          <w:szCs w:val="32"/>
        </w:rPr>
      </w:pPr>
      <w:r>
        <w:rPr>
          <w:rFonts w:ascii="黑体" w:hAnsi="黑体" w:eastAsia="黑体" w:cs="黑体"/>
          <w:w w:val="96"/>
          <w:sz w:val="32"/>
          <w:szCs w:val="32"/>
        </w:rPr>
        <w:t xml:space="preserve">    </w:t>
      </w:r>
      <w:r>
        <w:rPr>
          <w:rFonts w:hint="eastAsia" w:ascii="黑体" w:hAnsi="黑体" w:eastAsia="黑体" w:cs="黑体"/>
          <w:w w:val="96"/>
          <w:sz w:val="32"/>
          <w:szCs w:val="32"/>
        </w:rPr>
        <w:t>十一、国有资本经营预算财政拨款“三公”经费支出决算公开表</w:t>
      </w:r>
      <w:r>
        <w:rPr>
          <w:rFonts w:hint="eastAsia" w:ascii="黑体" w:hAnsi="黑体" w:eastAsia="黑体" w:cs="黑体"/>
          <w:sz w:val="32"/>
          <w:szCs w:val="32"/>
        </w:rPr>
        <w:t>（见正文附件）。</w:t>
      </w:r>
    </w:p>
    <w:p>
      <w:pPr>
        <w:jc w:val="center"/>
        <w:rPr>
          <w:rFonts w:ascii="黑体" w:hAnsi="ˎ̥" w:eastAsia="黑体" w:cs="Times New Roman"/>
          <w:sz w:val="32"/>
          <w:szCs w:val="32"/>
        </w:rPr>
      </w:pPr>
      <w:bookmarkStart w:id="75" w:name="_Toc4402_WPSOffice_Level1"/>
      <w:bookmarkStart w:id="76" w:name="_Toc16686_WPSOffice_Level1"/>
      <w:bookmarkStart w:id="77" w:name="_Toc28629_WPSOffice_Level1"/>
      <w:bookmarkStart w:id="78" w:name="_Toc27590_WPSOffice_Level1"/>
      <w:bookmarkStart w:id="79" w:name="_Toc29683_WPSOffice_Level1"/>
      <w:bookmarkStart w:id="80" w:name="_Toc31264_WPSOffice_Level1"/>
      <w:r>
        <w:rPr>
          <w:rFonts w:hint="eastAsia" w:ascii="黑体" w:hAnsi="ˎ̥" w:eastAsia="黑体" w:cs="Times New Roman"/>
          <w:sz w:val="32"/>
          <w:szCs w:val="32"/>
        </w:rPr>
        <w:t>第三部分  三亚市天涯区</w:t>
      </w:r>
      <w:r>
        <w:rPr>
          <w:rFonts w:hint="eastAsia" w:ascii="黑体" w:hAnsi="ˎ̥" w:eastAsia="黑体" w:cs="Times New Roman"/>
          <w:sz w:val="32"/>
          <w:szCs w:val="32"/>
          <w:lang w:val="en-US" w:eastAsia="zh-CN"/>
        </w:rPr>
        <w:t>第二幼儿园</w:t>
      </w:r>
      <w:r>
        <w:rPr>
          <w:rFonts w:hint="eastAsia" w:ascii="黑体" w:hAnsi="ˎ̥" w:eastAsia="黑体" w:cs="Times New Roman"/>
          <w:sz w:val="32"/>
          <w:szCs w:val="32"/>
          <w:lang w:eastAsia="zh-CN"/>
        </w:rPr>
        <w:t>202</w:t>
      </w:r>
      <w:r>
        <w:rPr>
          <w:rFonts w:hint="eastAsia" w:ascii="黑体" w:hAnsi="ˎ̥" w:eastAsia="黑体" w:cs="Times New Roman"/>
          <w:sz w:val="32"/>
          <w:szCs w:val="32"/>
          <w:lang w:val="en-US" w:eastAsia="zh-CN"/>
        </w:rPr>
        <w:t>2</w:t>
      </w:r>
      <w:r>
        <w:rPr>
          <w:rFonts w:hint="eastAsia" w:ascii="黑体" w:hAnsi="ˎ̥" w:eastAsia="黑体" w:cs="Times New Roman"/>
          <w:sz w:val="32"/>
          <w:szCs w:val="32"/>
        </w:rPr>
        <w:t>年度</w:t>
      </w:r>
      <w:r>
        <w:rPr>
          <w:rFonts w:hint="eastAsia" w:ascii="黑体" w:hAnsi="ˎ̥" w:eastAsia="黑体" w:cs="Times New Roman"/>
          <w:sz w:val="32"/>
          <w:szCs w:val="32"/>
          <w:lang w:eastAsia="zh-CN"/>
        </w:rPr>
        <w:t>单位</w:t>
      </w:r>
      <w:r>
        <w:rPr>
          <w:rFonts w:hint="eastAsia" w:ascii="黑体" w:hAnsi="ˎ̥" w:eastAsia="黑体" w:cs="Times New Roman"/>
          <w:sz w:val="32"/>
          <w:szCs w:val="32"/>
        </w:rPr>
        <w:t>决算情况说明</w:t>
      </w:r>
      <w:bookmarkEnd w:id="75"/>
      <w:bookmarkEnd w:id="76"/>
      <w:bookmarkEnd w:id="77"/>
      <w:bookmarkEnd w:id="78"/>
      <w:bookmarkEnd w:id="79"/>
      <w:bookmarkEnd w:id="80"/>
    </w:p>
    <w:p>
      <w:pPr>
        <w:numPr>
          <w:ilvl w:val="0"/>
          <w:numId w:val="0"/>
        </w:numPr>
        <w:ind w:firstLine="640" w:firstLineChars="200"/>
        <w:rPr>
          <w:rFonts w:hint="eastAsia" w:ascii="黑体" w:hAnsi="黑体" w:eastAsia="黑体" w:cs="黑体"/>
          <w:bCs/>
          <w:sz w:val="32"/>
          <w:szCs w:val="32"/>
        </w:rPr>
      </w:pPr>
      <w:r>
        <w:rPr>
          <w:rFonts w:hint="eastAsia" w:ascii="黑体" w:hAnsi="黑体" w:eastAsia="黑体" w:cs="黑体"/>
          <w:bCs/>
          <w:sz w:val="32"/>
          <w:szCs w:val="32"/>
          <w:lang w:val="en-US" w:eastAsia="zh-CN"/>
        </w:rPr>
        <w:t>一、</w:t>
      </w:r>
      <w:r>
        <w:rPr>
          <w:rFonts w:hint="eastAsia" w:ascii="黑体" w:hAnsi="黑体" w:eastAsia="黑体" w:cs="黑体"/>
          <w:bCs/>
          <w:sz w:val="32"/>
          <w:szCs w:val="32"/>
        </w:rPr>
        <w:t>收入支出决算总体情况说明</w:t>
      </w:r>
    </w:p>
    <w:p>
      <w:pPr>
        <w:numPr>
          <w:ilvl w:val="0"/>
          <w:numId w:val="0"/>
        </w:numPr>
        <w:ind w:firstLine="640" w:firstLineChars="200"/>
        <w:rPr>
          <w:rFonts w:hint="eastAsia" w:ascii="仿宋_GB2312" w:hAnsi="ˎ̥" w:eastAsia="仿宋_GB2312" w:cs="Times New Roman"/>
          <w:sz w:val="32"/>
          <w:szCs w:val="32"/>
        </w:rPr>
      </w:pPr>
      <w:r>
        <w:rPr>
          <w:rFonts w:hint="eastAsia" w:ascii="仿宋_GB2312" w:hAnsi="ˎ̥" w:eastAsia="仿宋_GB2312" w:cs="Times New Roman"/>
          <w:sz w:val="32"/>
          <w:szCs w:val="32"/>
          <w:highlight w:val="none"/>
          <w:lang w:val="en-US" w:eastAsia="zh-CN"/>
        </w:rPr>
        <w:t>2022年度收入总计551.06万元，支出总计551.06万元</w:t>
      </w:r>
      <w:r>
        <w:rPr>
          <w:rFonts w:hint="eastAsia" w:ascii="仿宋_GB2312" w:hAnsi="ˎ̥" w:eastAsia="仿宋_GB2312" w:cs="Times New Roman"/>
          <w:sz w:val="32"/>
          <w:szCs w:val="32"/>
          <w:highlight w:val="none"/>
        </w:rPr>
        <w:t>，</w:t>
      </w:r>
      <w:r>
        <w:rPr>
          <w:rFonts w:hint="eastAsia" w:ascii="仿宋_GB2312" w:hAnsi="ˎ̥" w:eastAsia="仿宋_GB2312" w:cs="Times New Roman"/>
          <w:sz w:val="32"/>
          <w:szCs w:val="32"/>
        </w:rPr>
        <w:t>与</w:t>
      </w:r>
      <w:r>
        <w:rPr>
          <w:rFonts w:hint="eastAsia" w:ascii="仿宋_GB2312" w:hAnsi="ˎ̥" w:eastAsia="仿宋_GB2312" w:cs="Times New Roman"/>
          <w:sz w:val="32"/>
          <w:szCs w:val="32"/>
          <w:lang w:eastAsia="zh-CN"/>
        </w:rPr>
        <w:t>202</w:t>
      </w:r>
      <w:r>
        <w:rPr>
          <w:rFonts w:hint="eastAsia" w:ascii="仿宋_GB2312" w:hAnsi="ˎ̥" w:eastAsia="仿宋_GB2312" w:cs="Times New Roman"/>
          <w:sz w:val="32"/>
          <w:szCs w:val="32"/>
          <w:lang w:val="en-US" w:eastAsia="zh-CN"/>
        </w:rPr>
        <w:t>1</w:t>
      </w:r>
      <w:r>
        <w:rPr>
          <w:rFonts w:hint="eastAsia" w:ascii="仿宋_GB2312" w:hAnsi="ˎ̥" w:eastAsia="仿宋_GB2312" w:cs="Times New Roman"/>
          <w:sz w:val="32"/>
          <w:szCs w:val="32"/>
        </w:rPr>
        <w:t>年度相比，收入总计</w:t>
      </w:r>
      <w:r>
        <w:rPr>
          <w:rFonts w:hint="eastAsia" w:ascii="仿宋_GB2312" w:hAnsi="ˎ̥" w:eastAsia="仿宋_GB2312" w:cs="Times New Roman"/>
          <w:sz w:val="32"/>
          <w:szCs w:val="32"/>
          <w:lang w:val="en-US" w:eastAsia="zh-CN"/>
        </w:rPr>
        <w:t>增加145.81</w:t>
      </w:r>
      <w:r>
        <w:rPr>
          <w:rFonts w:hint="eastAsia" w:ascii="仿宋_GB2312" w:hAnsi="ˎ̥" w:eastAsia="仿宋_GB2312" w:cs="Times New Roman"/>
          <w:sz w:val="32"/>
          <w:szCs w:val="32"/>
        </w:rPr>
        <w:t>万元，</w:t>
      </w:r>
      <w:r>
        <w:rPr>
          <w:rFonts w:hint="eastAsia" w:ascii="仿宋_GB2312" w:hAnsi="ˎ̥" w:eastAsia="仿宋_GB2312" w:cs="Times New Roman"/>
          <w:sz w:val="32"/>
          <w:szCs w:val="32"/>
          <w:lang w:val="en-US" w:eastAsia="zh-CN"/>
        </w:rPr>
        <w:t>上升73.54</w:t>
      </w:r>
      <w:r>
        <w:rPr>
          <w:rFonts w:hint="eastAsia" w:ascii="仿宋_GB2312" w:hAnsi="ˎ̥" w:eastAsia="仿宋_GB2312" w:cs="Times New Roman"/>
          <w:sz w:val="32"/>
          <w:szCs w:val="32"/>
        </w:rPr>
        <w:t>%、支出总计</w:t>
      </w:r>
      <w:r>
        <w:rPr>
          <w:rFonts w:hint="eastAsia" w:ascii="仿宋_GB2312" w:hAnsi="ˎ̥" w:eastAsia="仿宋_GB2312" w:cs="Times New Roman"/>
          <w:sz w:val="32"/>
          <w:szCs w:val="32"/>
          <w:lang w:val="en-US" w:eastAsia="zh-CN"/>
        </w:rPr>
        <w:t>增加551.06</w:t>
      </w:r>
      <w:r>
        <w:rPr>
          <w:rFonts w:hint="eastAsia" w:ascii="仿宋_GB2312" w:hAnsi="ˎ̥" w:eastAsia="仿宋_GB2312" w:cs="Times New Roman"/>
          <w:sz w:val="32"/>
          <w:szCs w:val="32"/>
        </w:rPr>
        <w:t>万元，</w:t>
      </w:r>
      <w:r>
        <w:rPr>
          <w:rFonts w:hint="eastAsia" w:ascii="仿宋_GB2312" w:hAnsi="ˎ̥" w:eastAsia="仿宋_GB2312" w:cs="Times New Roman"/>
          <w:sz w:val="32"/>
          <w:szCs w:val="32"/>
          <w:lang w:val="en-US" w:eastAsia="zh-CN"/>
        </w:rPr>
        <w:t>增加73.54</w:t>
      </w:r>
      <w:r>
        <w:rPr>
          <w:rFonts w:hint="eastAsia" w:ascii="仿宋_GB2312" w:hAnsi="ˎ̥" w:eastAsia="仿宋_GB2312" w:cs="Times New Roman"/>
          <w:sz w:val="32"/>
          <w:szCs w:val="32"/>
        </w:rPr>
        <w:t>%。使用非财政拨款结余</w:t>
      </w:r>
      <w:r>
        <w:rPr>
          <w:rFonts w:hint="eastAsia" w:ascii="仿宋_GB2312" w:hAnsi="ˎ̥" w:eastAsia="仿宋_GB2312" w:cs="Times New Roman"/>
          <w:sz w:val="32"/>
          <w:szCs w:val="32"/>
          <w:lang w:val="en-US" w:eastAsia="zh-CN"/>
        </w:rPr>
        <w:t>0</w:t>
      </w:r>
      <w:r>
        <w:rPr>
          <w:rFonts w:hint="eastAsia" w:ascii="仿宋_GB2312" w:hAnsi="ˎ̥" w:eastAsia="仿宋_GB2312" w:cs="Times New Roman"/>
          <w:sz w:val="32"/>
          <w:szCs w:val="32"/>
        </w:rPr>
        <w:t>万元。年初结转结余</w:t>
      </w:r>
      <w:r>
        <w:rPr>
          <w:rFonts w:hint="eastAsia" w:ascii="仿宋_GB2312" w:hAnsi="ˎ̥" w:eastAsia="仿宋_GB2312" w:cs="Times New Roman"/>
          <w:sz w:val="32"/>
          <w:szCs w:val="32"/>
          <w:lang w:val="en-US" w:eastAsia="zh-CN"/>
        </w:rPr>
        <w:t>0</w:t>
      </w:r>
      <w:r>
        <w:rPr>
          <w:rFonts w:hint="eastAsia" w:ascii="仿宋_GB2312" w:hAnsi="ˎ̥" w:eastAsia="仿宋_GB2312" w:cs="Times New Roman"/>
          <w:sz w:val="32"/>
          <w:szCs w:val="32"/>
        </w:rPr>
        <w:t>万元，年末结转结余</w:t>
      </w:r>
      <w:r>
        <w:rPr>
          <w:rFonts w:hint="eastAsia" w:ascii="仿宋_GB2312" w:hAnsi="ˎ̥" w:eastAsia="仿宋_GB2312" w:cs="Times New Roman"/>
          <w:sz w:val="32"/>
          <w:szCs w:val="32"/>
          <w:lang w:val="en-US" w:eastAsia="zh-CN"/>
        </w:rPr>
        <w:t>0</w:t>
      </w:r>
      <w:r>
        <w:rPr>
          <w:rFonts w:hint="eastAsia" w:ascii="仿宋_GB2312" w:hAnsi="ˎ̥" w:eastAsia="仿宋_GB2312" w:cs="Times New Roman"/>
          <w:sz w:val="32"/>
          <w:szCs w:val="32"/>
        </w:rPr>
        <w:t>万元。</w:t>
      </w:r>
    </w:p>
    <w:p>
      <w:pPr>
        <w:numPr>
          <w:ilvl w:val="0"/>
          <w:numId w:val="0"/>
        </w:numPr>
        <w:ind w:firstLine="640" w:firstLineChars="200"/>
        <w:rPr>
          <w:rFonts w:hint="eastAsia" w:ascii="黑体" w:hAnsi="黑体" w:eastAsia="黑体" w:cs="黑体"/>
          <w:bCs/>
          <w:sz w:val="32"/>
          <w:szCs w:val="32"/>
          <w:lang w:eastAsia="zh-CN"/>
        </w:rPr>
      </w:pPr>
      <w:r>
        <w:rPr>
          <w:rFonts w:hint="eastAsia" w:ascii="黑体" w:hAnsi="黑体" w:eastAsia="黑体" w:cs="黑体"/>
          <w:bCs/>
          <w:sz w:val="32"/>
          <w:szCs w:val="32"/>
        </w:rPr>
        <w:t>二、收入决算情况说明</w:t>
      </w:r>
    </w:p>
    <w:p>
      <w:pPr>
        <w:numPr>
          <w:ilvl w:val="0"/>
          <w:numId w:val="0"/>
        </w:numPr>
        <w:ind w:firstLine="640" w:firstLineChars="200"/>
        <w:rPr>
          <w:rFonts w:ascii="仿宋_GB2312" w:hAnsi="ˎ̥" w:eastAsia="仿宋_GB2312" w:cs="Times New Roman"/>
          <w:sz w:val="32"/>
          <w:szCs w:val="32"/>
        </w:rPr>
      </w:pPr>
      <w:r>
        <w:rPr>
          <w:rFonts w:hint="eastAsia" w:ascii="仿宋_GB2312" w:hAnsi="ˎ̥" w:eastAsia="仿宋_GB2312" w:cs="Times New Roman"/>
          <w:sz w:val="32"/>
          <w:szCs w:val="32"/>
        </w:rPr>
        <w:t>本年收入合计</w:t>
      </w:r>
      <w:r>
        <w:rPr>
          <w:rFonts w:hint="eastAsia" w:ascii="仿宋_GB2312" w:hAnsi="ˎ̥" w:eastAsia="仿宋_GB2312" w:cs="Times New Roman"/>
          <w:sz w:val="32"/>
          <w:szCs w:val="32"/>
          <w:lang w:val="en-US" w:eastAsia="zh-CN"/>
        </w:rPr>
        <w:t>551.06</w:t>
      </w:r>
      <w:r>
        <w:rPr>
          <w:rFonts w:hint="eastAsia" w:ascii="仿宋_GB2312" w:hAnsi="ˎ̥" w:eastAsia="仿宋_GB2312" w:cs="Times New Roman"/>
          <w:sz w:val="32"/>
          <w:szCs w:val="32"/>
        </w:rPr>
        <w:t>万元，其中：财政拨款收入</w:t>
      </w:r>
      <w:r>
        <w:rPr>
          <w:rFonts w:hint="eastAsia" w:ascii="仿宋_GB2312" w:hAnsi="ˎ̥" w:eastAsia="仿宋_GB2312" w:cs="Times New Roman"/>
          <w:sz w:val="32"/>
          <w:szCs w:val="32"/>
          <w:lang w:val="en-US" w:eastAsia="zh-CN"/>
        </w:rPr>
        <w:t>544.05</w:t>
      </w:r>
      <w:r>
        <w:rPr>
          <w:rFonts w:hint="eastAsia" w:ascii="仿宋_GB2312" w:hAnsi="ˎ̥" w:eastAsia="仿宋_GB2312" w:cs="Times New Roman"/>
          <w:sz w:val="32"/>
          <w:szCs w:val="32"/>
        </w:rPr>
        <w:t>万元，占</w:t>
      </w:r>
      <w:r>
        <w:rPr>
          <w:rFonts w:hint="eastAsia" w:ascii="仿宋_GB2312" w:hAnsi="ˎ̥" w:eastAsia="仿宋_GB2312" w:cs="Times New Roman"/>
          <w:sz w:val="32"/>
          <w:szCs w:val="32"/>
          <w:lang w:val="en-US" w:eastAsia="zh-CN"/>
        </w:rPr>
        <w:t>98.73</w:t>
      </w:r>
      <w:r>
        <w:rPr>
          <w:rFonts w:hint="eastAsia" w:ascii="仿宋_GB2312" w:hAnsi="ˎ̥" w:eastAsia="仿宋_GB2312" w:cs="Times New Roman"/>
          <w:sz w:val="32"/>
          <w:szCs w:val="32"/>
        </w:rPr>
        <w:t>%；</w:t>
      </w:r>
      <w:r>
        <w:rPr>
          <w:rFonts w:hint="eastAsia" w:ascii="仿宋_GB2312" w:hAnsi="ˎ̥" w:eastAsia="仿宋_GB2312" w:cs="Times New Roman"/>
          <w:sz w:val="32"/>
          <w:szCs w:val="32"/>
          <w:highlight w:val="none"/>
        </w:rPr>
        <w:t>其他收入</w:t>
      </w:r>
      <w:r>
        <w:rPr>
          <w:rFonts w:hint="eastAsia" w:ascii="仿宋_GB2312" w:hAnsi="ˎ̥" w:eastAsia="仿宋_GB2312" w:cs="Times New Roman"/>
          <w:sz w:val="32"/>
          <w:szCs w:val="32"/>
          <w:highlight w:val="none"/>
          <w:lang w:val="en-US" w:eastAsia="zh-CN"/>
        </w:rPr>
        <w:t>7.01</w:t>
      </w:r>
      <w:r>
        <w:rPr>
          <w:rFonts w:hint="eastAsia" w:ascii="仿宋_GB2312" w:hAnsi="ˎ̥" w:eastAsia="仿宋_GB2312" w:cs="Times New Roman"/>
          <w:sz w:val="32"/>
          <w:szCs w:val="32"/>
          <w:highlight w:val="none"/>
        </w:rPr>
        <w:t>万元，占</w:t>
      </w:r>
      <w:r>
        <w:rPr>
          <w:rFonts w:hint="eastAsia" w:ascii="仿宋_GB2312" w:hAnsi="ˎ̥" w:eastAsia="仿宋_GB2312" w:cs="Times New Roman"/>
          <w:sz w:val="32"/>
          <w:szCs w:val="32"/>
          <w:highlight w:val="none"/>
          <w:lang w:val="en-US" w:eastAsia="zh-CN"/>
        </w:rPr>
        <w:t>1.27</w:t>
      </w:r>
      <w:r>
        <w:rPr>
          <w:rFonts w:hint="eastAsia" w:ascii="仿宋_GB2312" w:hAnsi="ˎ̥" w:eastAsia="仿宋_GB2312" w:cs="Times New Roman"/>
          <w:sz w:val="32"/>
          <w:szCs w:val="32"/>
          <w:highlight w:val="none"/>
        </w:rPr>
        <w:t>%。</w:t>
      </w:r>
    </w:p>
    <w:p>
      <w:pPr>
        <w:ind w:firstLine="627" w:firstLineChars="196"/>
        <w:rPr>
          <w:rFonts w:ascii="黑体" w:hAnsi="黑体" w:eastAsia="黑体" w:cs="黑体"/>
          <w:bCs/>
          <w:sz w:val="32"/>
          <w:szCs w:val="32"/>
        </w:rPr>
      </w:pPr>
      <w:r>
        <w:rPr>
          <w:rFonts w:hint="eastAsia" w:ascii="黑体" w:hAnsi="黑体" w:eastAsia="黑体" w:cs="黑体"/>
          <w:bCs/>
          <w:sz w:val="32"/>
          <w:szCs w:val="32"/>
        </w:rPr>
        <w:t>三、支出决算情况说明</w:t>
      </w:r>
    </w:p>
    <w:p>
      <w:pPr>
        <w:ind w:firstLine="640" w:firstLineChars="200"/>
        <w:rPr>
          <w:rFonts w:ascii="仿宋_GB2312" w:hAnsi="ˎ̥" w:eastAsia="仿宋_GB2312" w:cs="Times New Roman"/>
          <w:sz w:val="32"/>
          <w:szCs w:val="32"/>
        </w:rPr>
      </w:pPr>
      <w:r>
        <w:rPr>
          <w:rFonts w:hint="eastAsia" w:ascii="仿宋_GB2312" w:hAnsi="ˎ̥" w:eastAsia="仿宋_GB2312" w:cs="Times New Roman"/>
          <w:sz w:val="32"/>
          <w:szCs w:val="32"/>
        </w:rPr>
        <w:t>本年支出合计</w:t>
      </w:r>
      <w:r>
        <w:rPr>
          <w:rFonts w:hint="eastAsia" w:ascii="仿宋_GB2312" w:hAnsi="ˎ̥" w:eastAsia="仿宋_GB2312" w:cs="Times New Roman"/>
          <w:sz w:val="32"/>
          <w:szCs w:val="32"/>
          <w:lang w:val="en-US" w:eastAsia="zh-CN"/>
        </w:rPr>
        <w:t>551.06</w:t>
      </w:r>
      <w:r>
        <w:rPr>
          <w:rFonts w:hint="eastAsia" w:ascii="仿宋_GB2312" w:hAnsi="ˎ̥" w:eastAsia="仿宋_GB2312" w:cs="Times New Roman"/>
          <w:sz w:val="32"/>
          <w:szCs w:val="32"/>
        </w:rPr>
        <w:t>万元，其中：</w:t>
      </w:r>
      <w:r>
        <w:rPr>
          <w:rFonts w:hint="eastAsia" w:ascii="仿宋_GB2312" w:hAnsi="ˎ̥" w:eastAsia="仿宋_GB2312" w:cs="Times New Roman"/>
          <w:sz w:val="32"/>
          <w:szCs w:val="32"/>
          <w:lang w:val="en-US" w:eastAsia="zh-CN"/>
        </w:rPr>
        <w:t>基本</w:t>
      </w:r>
      <w:r>
        <w:rPr>
          <w:rFonts w:hint="eastAsia" w:ascii="仿宋_GB2312" w:hAnsi="ˎ̥" w:eastAsia="仿宋_GB2312" w:cs="Times New Roman"/>
          <w:sz w:val="32"/>
          <w:szCs w:val="32"/>
        </w:rPr>
        <w:t>支出</w:t>
      </w:r>
      <w:r>
        <w:rPr>
          <w:rFonts w:hint="eastAsia" w:ascii="仿宋_GB2312" w:hAnsi="ˎ̥" w:eastAsia="仿宋_GB2312" w:cs="Times New Roman"/>
          <w:sz w:val="32"/>
          <w:szCs w:val="32"/>
          <w:lang w:val="en-US" w:eastAsia="zh-CN"/>
        </w:rPr>
        <w:t>68.18</w:t>
      </w:r>
      <w:r>
        <w:rPr>
          <w:rFonts w:hint="eastAsia" w:ascii="仿宋_GB2312" w:hAnsi="ˎ̥" w:eastAsia="仿宋_GB2312" w:cs="Times New Roman"/>
          <w:sz w:val="32"/>
          <w:szCs w:val="32"/>
        </w:rPr>
        <w:t>万元，占</w:t>
      </w:r>
      <w:r>
        <w:rPr>
          <w:rFonts w:hint="eastAsia" w:ascii="仿宋_GB2312" w:hAnsi="ˎ̥" w:eastAsia="仿宋_GB2312" w:cs="Times New Roman"/>
          <w:sz w:val="32"/>
          <w:szCs w:val="32"/>
          <w:lang w:val="en-US" w:eastAsia="zh-CN"/>
        </w:rPr>
        <w:t>12.37</w:t>
      </w:r>
      <w:r>
        <w:rPr>
          <w:rFonts w:hint="eastAsia" w:ascii="仿宋_GB2312" w:hAnsi="ˎ̥" w:eastAsia="仿宋_GB2312" w:cs="Times New Roman"/>
          <w:sz w:val="32"/>
          <w:szCs w:val="32"/>
        </w:rPr>
        <w:t>%；</w:t>
      </w:r>
      <w:r>
        <w:rPr>
          <w:rFonts w:hint="eastAsia" w:ascii="仿宋_GB2312" w:hAnsi="ˎ̥" w:eastAsia="仿宋_GB2312" w:cs="Times New Roman"/>
          <w:sz w:val="32"/>
          <w:szCs w:val="32"/>
          <w:lang w:val="en-US" w:eastAsia="zh-CN"/>
        </w:rPr>
        <w:t>项目</w:t>
      </w:r>
      <w:r>
        <w:rPr>
          <w:rFonts w:hint="eastAsia" w:ascii="仿宋_GB2312" w:hAnsi="ˎ̥" w:eastAsia="仿宋_GB2312" w:cs="Times New Roman"/>
          <w:sz w:val="32"/>
          <w:szCs w:val="32"/>
        </w:rPr>
        <w:t>支出</w:t>
      </w:r>
      <w:r>
        <w:rPr>
          <w:rFonts w:hint="eastAsia" w:ascii="仿宋_GB2312" w:hAnsi="ˎ̥" w:eastAsia="仿宋_GB2312" w:cs="Times New Roman"/>
          <w:sz w:val="32"/>
          <w:szCs w:val="32"/>
          <w:lang w:val="en-US" w:eastAsia="zh-CN"/>
        </w:rPr>
        <w:t>482.88</w:t>
      </w:r>
      <w:r>
        <w:rPr>
          <w:rFonts w:hint="eastAsia" w:ascii="仿宋_GB2312" w:hAnsi="ˎ̥" w:eastAsia="仿宋_GB2312" w:cs="Times New Roman"/>
          <w:sz w:val="32"/>
          <w:szCs w:val="32"/>
        </w:rPr>
        <w:t>万元，</w:t>
      </w:r>
      <w:r>
        <w:rPr>
          <w:rFonts w:hint="eastAsia" w:ascii="仿宋_GB2312" w:hAnsi="ˎ̥" w:eastAsia="仿宋_GB2312" w:cs="Times New Roman"/>
          <w:sz w:val="32"/>
          <w:szCs w:val="32"/>
          <w:lang w:val="en-US" w:eastAsia="zh-CN"/>
        </w:rPr>
        <w:t>占87.63%</w:t>
      </w:r>
      <w:r>
        <w:rPr>
          <w:rFonts w:hint="eastAsia" w:ascii="仿宋_GB2312" w:hAnsi="ˎ̥" w:eastAsia="仿宋_GB2312" w:cs="Times New Roman"/>
          <w:sz w:val="32"/>
          <w:szCs w:val="32"/>
        </w:rPr>
        <w:t>。</w:t>
      </w:r>
    </w:p>
    <w:p>
      <w:pPr>
        <w:ind w:firstLine="627" w:firstLineChars="196"/>
        <w:rPr>
          <w:rFonts w:ascii="黑体" w:hAnsi="黑体" w:eastAsia="黑体" w:cs="黑体"/>
          <w:bCs/>
          <w:sz w:val="32"/>
          <w:szCs w:val="32"/>
        </w:rPr>
      </w:pPr>
      <w:r>
        <w:rPr>
          <w:rFonts w:hint="eastAsia" w:ascii="黑体" w:hAnsi="黑体" w:eastAsia="黑体" w:cs="黑体"/>
          <w:bCs/>
          <w:sz w:val="32"/>
          <w:szCs w:val="32"/>
        </w:rPr>
        <w:t>四、财政拨款收入支出决算总体情况说明</w:t>
      </w:r>
    </w:p>
    <w:p>
      <w:pPr>
        <w:ind w:firstLine="640" w:firstLineChars="200"/>
        <w:rPr>
          <w:rFonts w:hint="eastAsia" w:ascii="仿宋_GB2312" w:hAnsi="ˎ̥" w:eastAsia="仿宋_GB2312" w:cs="Times New Roman"/>
          <w:sz w:val="32"/>
          <w:szCs w:val="32"/>
          <w:highlight w:val="none"/>
        </w:rPr>
      </w:pPr>
      <w:r>
        <w:rPr>
          <w:rFonts w:hint="eastAsia" w:ascii="仿宋_GB2312" w:hAnsi="ˎ̥" w:eastAsia="仿宋_GB2312" w:cs="Times New Roman"/>
          <w:sz w:val="32"/>
          <w:szCs w:val="32"/>
          <w:highlight w:val="none"/>
          <w:lang w:val="en-US" w:eastAsia="zh-CN"/>
        </w:rPr>
        <w:t>2022年度财政拨款收入总计544.05万元，支出总计551.06万元</w:t>
      </w:r>
      <w:r>
        <w:rPr>
          <w:rFonts w:hint="eastAsia" w:ascii="仿宋_GB2312" w:hAnsi="ˎ̥" w:eastAsia="仿宋_GB2312" w:cs="Times New Roman"/>
          <w:sz w:val="32"/>
          <w:szCs w:val="32"/>
          <w:highlight w:val="none"/>
        </w:rPr>
        <w:t>。与</w:t>
      </w:r>
      <w:r>
        <w:rPr>
          <w:rFonts w:hint="eastAsia" w:ascii="仿宋_GB2312" w:hAnsi="ˎ̥" w:eastAsia="仿宋_GB2312" w:cs="Times New Roman"/>
          <w:sz w:val="32"/>
          <w:szCs w:val="32"/>
          <w:highlight w:val="none"/>
          <w:lang w:eastAsia="zh-CN"/>
        </w:rPr>
        <w:t>202</w:t>
      </w:r>
      <w:r>
        <w:rPr>
          <w:rFonts w:hint="eastAsia" w:ascii="仿宋_GB2312" w:hAnsi="ˎ̥" w:eastAsia="仿宋_GB2312" w:cs="Times New Roman"/>
          <w:sz w:val="32"/>
          <w:szCs w:val="32"/>
          <w:highlight w:val="none"/>
          <w:lang w:val="en-US" w:eastAsia="zh-CN"/>
        </w:rPr>
        <w:t>1</w:t>
      </w:r>
      <w:r>
        <w:rPr>
          <w:rFonts w:hint="eastAsia" w:ascii="仿宋_GB2312" w:hAnsi="ˎ̥" w:eastAsia="仿宋_GB2312" w:cs="Times New Roman"/>
          <w:sz w:val="32"/>
          <w:szCs w:val="32"/>
          <w:highlight w:val="none"/>
        </w:rPr>
        <w:t>年度相比，财政拨款收入总计</w:t>
      </w:r>
      <w:r>
        <w:rPr>
          <w:rFonts w:hint="eastAsia" w:ascii="仿宋_GB2312" w:hAnsi="ˎ̥" w:eastAsia="仿宋_GB2312" w:cs="Times New Roman"/>
          <w:sz w:val="32"/>
          <w:szCs w:val="32"/>
          <w:highlight w:val="none"/>
          <w:lang w:val="en-US" w:eastAsia="zh-CN"/>
        </w:rPr>
        <w:t>增加188.41</w:t>
      </w:r>
      <w:r>
        <w:rPr>
          <w:rFonts w:hint="eastAsia" w:ascii="仿宋_GB2312" w:hAnsi="ˎ̥" w:eastAsia="仿宋_GB2312" w:cs="Times New Roman"/>
          <w:sz w:val="32"/>
          <w:szCs w:val="32"/>
          <w:highlight w:val="none"/>
        </w:rPr>
        <w:t>万元，</w:t>
      </w:r>
      <w:r>
        <w:rPr>
          <w:rFonts w:hint="eastAsia" w:ascii="仿宋_GB2312" w:hAnsi="ˎ̥" w:eastAsia="仿宋_GB2312" w:cs="Times New Roman"/>
          <w:sz w:val="32"/>
          <w:szCs w:val="32"/>
          <w:highlight w:val="none"/>
          <w:lang w:val="en-US" w:eastAsia="zh-CN"/>
        </w:rPr>
        <w:t>上升65.37</w:t>
      </w:r>
      <w:r>
        <w:rPr>
          <w:rFonts w:hint="eastAsia" w:ascii="仿宋_GB2312" w:hAnsi="ˎ̥" w:eastAsia="仿宋_GB2312" w:cs="Times New Roman"/>
          <w:sz w:val="32"/>
          <w:szCs w:val="32"/>
          <w:highlight w:val="none"/>
        </w:rPr>
        <w:t>%。支出总计</w:t>
      </w:r>
      <w:r>
        <w:rPr>
          <w:rFonts w:hint="eastAsia" w:ascii="仿宋_GB2312" w:hAnsi="ˎ̥" w:eastAsia="仿宋_GB2312" w:cs="Times New Roman"/>
          <w:sz w:val="32"/>
          <w:szCs w:val="32"/>
          <w:highlight w:val="none"/>
          <w:lang w:val="en-US" w:eastAsia="zh-CN"/>
        </w:rPr>
        <w:t>增加195.42</w:t>
      </w:r>
      <w:r>
        <w:rPr>
          <w:rFonts w:hint="eastAsia" w:ascii="仿宋_GB2312" w:hAnsi="ˎ̥" w:eastAsia="仿宋_GB2312" w:cs="Times New Roman"/>
          <w:sz w:val="32"/>
          <w:szCs w:val="32"/>
          <w:highlight w:val="none"/>
        </w:rPr>
        <w:t>万元，</w:t>
      </w:r>
      <w:r>
        <w:rPr>
          <w:rFonts w:hint="eastAsia" w:ascii="仿宋_GB2312" w:hAnsi="ˎ̥" w:eastAsia="仿宋_GB2312" w:cs="Times New Roman"/>
          <w:sz w:val="32"/>
          <w:szCs w:val="32"/>
          <w:highlight w:val="none"/>
          <w:lang w:val="en-US" w:eastAsia="zh-CN"/>
        </w:rPr>
        <w:t>增加64.54</w:t>
      </w:r>
      <w:r>
        <w:rPr>
          <w:rFonts w:hint="eastAsia" w:ascii="仿宋_GB2312" w:hAnsi="ˎ̥" w:eastAsia="仿宋_GB2312" w:cs="Times New Roman"/>
          <w:sz w:val="32"/>
          <w:szCs w:val="32"/>
          <w:highlight w:val="none"/>
        </w:rPr>
        <w:t>%</w:t>
      </w:r>
      <w:r>
        <w:rPr>
          <w:rFonts w:hint="eastAsia" w:ascii="仿宋_GB2312" w:hAnsi="ˎ̥" w:eastAsia="仿宋_GB2312" w:cs="Times New Roman"/>
          <w:sz w:val="32"/>
          <w:szCs w:val="32"/>
          <w:highlight w:val="none"/>
          <w:lang w:eastAsia="zh-CN"/>
        </w:rPr>
        <w:t>，</w:t>
      </w:r>
      <w:r>
        <w:rPr>
          <w:rFonts w:ascii="仿宋_GB2312" w:hAnsi="ˎ̥" w:eastAsia="仿宋_GB2312" w:cs="仿宋_GB2312"/>
          <w:sz w:val="32"/>
          <w:szCs w:val="32"/>
          <w:highlight w:val="none"/>
        </w:rPr>
        <w:t>主要原因是</w:t>
      </w:r>
      <w:r>
        <w:rPr>
          <w:rFonts w:hint="eastAsia" w:ascii="仿宋_GB2312" w:hAnsi="ˎ̥" w:eastAsia="仿宋_GB2312" w:cs="仿宋_GB2312"/>
          <w:sz w:val="32"/>
          <w:szCs w:val="32"/>
          <w:highlight w:val="none"/>
          <w:lang w:val="en-US" w:eastAsia="zh-CN"/>
        </w:rPr>
        <w:t>2022年</w:t>
      </w:r>
      <w:r>
        <w:rPr>
          <w:rFonts w:hint="eastAsia" w:ascii="仿宋_GB2312" w:hAnsi="仿宋" w:eastAsia="仿宋_GB2312"/>
          <w:sz w:val="32"/>
          <w:szCs w:val="32"/>
          <w:lang w:val="en-US" w:eastAsia="zh-CN"/>
        </w:rPr>
        <w:t>人员增加、工资福利支出增加，社保基数提高</w:t>
      </w:r>
      <w:r>
        <w:rPr>
          <w:rFonts w:hint="eastAsia" w:ascii="仿宋_GB2312" w:hAnsi="ˎ̥" w:eastAsia="仿宋_GB2312" w:cs="仿宋_GB2312"/>
          <w:sz w:val="32"/>
          <w:szCs w:val="32"/>
          <w:highlight w:val="none"/>
          <w:lang w:eastAsia="zh-CN"/>
        </w:rPr>
        <w:t>。</w:t>
      </w:r>
    </w:p>
    <w:p>
      <w:pPr>
        <w:ind w:firstLine="640" w:firstLineChars="200"/>
        <w:rPr>
          <w:rFonts w:ascii="仿宋_GB2312" w:hAnsi="ˎ̥" w:eastAsia="仿宋_GB2312" w:cs="Times New Roman"/>
          <w:sz w:val="32"/>
          <w:szCs w:val="32"/>
        </w:rPr>
      </w:pPr>
      <w:r>
        <w:rPr>
          <w:rFonts w:hint="eastAsia" w:ascii="仿宋_GB2312" w:hAnsi="ˎ̥" w:eastAsia="仿宋_GB2312" w:cs="Times New Roman"/>
          <w:sz w:val="32"/>
          <w:szCs w:val="32"/>
        </w:rPr>
        <w:t>财政拨款年初结转结余</w:t>
      </w:r>
      <w:r>
        <w:rPr>
          <w:rFonts w:hint="eastAsia" w:ascii="仿宋_GB2312" w:hAnsi="ˎ̥" w:eastAsia="仿宋_GB2312" w:cs="Times New Roman"/>
          <w:sz w:val="32"/>
          <w:szCs w:val="32"/>
          <w:lang w:val="en-US" w:eastAsia="zh-CN"/>
        </w:rPr>
        <w:t>0</w:t>
      </w:r>
      <w:r>
        <w:rPr>
          <w:rFonts w:hint="eastAsia" w:ascii="仿宋_GB2312" w:hAnsi="ˎ̥" w:eastAsia="仿宋_GB2312" w:cs="Times New Roman"/>
          <w:sz w:val="32"/>
          <w:szCs w:val="32"/>
        </w:rPr>
        <w:t>万元</w:t>
      </w:r>
    </w:p>
    <w:p>
      <w:pPr>
        <w:ind w:firstLine="640" w:firstLineChars="200"/>
        <w:rPr>
          <w:rFonts w:ascii="仿宋_GB2312" w:hAnsi="ˎ̥" w:eastAsia="仿宋_GB2312" w:cs="Times New Roman"/>
          <w:sz w:val="32"/>
          <w:szCs w:val="32"/>
          <w:highlight w:val="yellow"/>
        </w:rPr>
      </w:pPr>
      <w:r>
        <w:rPr>
          <w:rFonts w:hint="eastAsia" w:ascii="仿宋_GB2312" w:hAnsi="ˎ̥" w:eastAsia="仿宋_GB2312" w:cs="Times New Roman"/>
          <w:sz w:val="32"/>
          <w:szCs w:val="32"/>
        </w:rPr>
        <w:t>财政拨款年末结转结余</w:t>
      </w:r>
      <w:r>
        <w:rPr>
          <w:rFonts w:hint="eastAsia" w:ascii="仿宋_GB2312" w:hAnsi="ˎ̥" w:eastAsia="仿宋_GB2312" w:cs="Times New Roman"/>
          <w:sz w:val="32"/>
          <w:szCs w:val="32"/>
          <w:lang w:val="en-US" w:eastAsia="zh-CN"/>
        </w:rPr>
        <w:t>0</w:t>
      </w:r>
      <w:r>
        <w:rPr>
          <w:rFonts w:hint="eastAsia" w:ascii="仿宋_GB2312" w:hAnsi="ˎ̥" w:eastAsia="仿宋_GB2312" w:cs="Times New Roman"/>
          <w:sz w:val="32"/>
          <w:szCs w:val="32"/>
        </w:rPr>
        <w:t>万元。</w:t>
      </w:r>
    </w:p>
    <w:p>
      <w:pPr>
        <w:ind w:firstLine="627" w:firstLineChars="196"/>
        <w:rPr>
          <w:rFonts w:ascii="黑体" w:hAnsi="黑体" w:eastAsia="黑体" w:cs="黑体"/>
          <w:bCs/>
          <w:sz w:val="32"/>
          <w:szCs w:val="32"/>
        </w:rPr>
      </w:pPr>
      <w:r>
        <w:rPr>
          <w:rFonts w:hint="eastAsia" w:ascii="黑体" w:hAnsi="黑体" w:eastAsia="黑体" w:cs="黑体"/>
          <w:bCs/>
          <w:sz w:val="32"/>
          <w:szCs w:val="32"/>
        </w:rPr>
        <w:t>五、一般公共预算财政拨款支出决算情况说明</w:t>
      </w:r>
    </w:p>
    <w:p>
      <w:pPr>
        <w:ind w:firstLine="640" w:firstLineChars="200"/>
        <w:rPr>
          <w:rFonts w:ascii="楷体" w:hAnsi="楷体" w:eastAsia="楷体" w:cs="楷体"/>
          <w:sz w:val="32"/>
          <w:szCs w:val="32"/>
        </w:rPr>
      </w:pPr>
      <w:bookmarkStart w:id="81" w:name="_Toc17398_WPSOffice_Level2"/>
      <w:bookmarkStart w:id="82" w:name="_Toc13694_WPSOffice_Level2"/>
      <w:bookmarkStart w:id="83" w:name="_Toc9989_WPSOffice_Level2"/>
      <w:bookmarkStart w:id="84" w:name="_Toc19665_WPSOffice_Level2"/>
      <w:bookmarkStart w:id="85" w:name="_Toc21737_WPSOffice_Level2"/>
      <w:bookmarkStart w:id="86" w:name="_Toc23005_WPSOffice_Level2"/>
      <w:r>
        <w:rPr>
          <w:rFonts w:hint="eastAsia" w:ascii="楷体" w:hAnsi="楷体" w:eastAsia="楷体" w:cs="楷体"/>
          <w:sz w:val="32"/>
          <w:szCs w:val="32"/>
        </w:rPr>
        <w:t>（一）一般公共预算财政拨款支出决算总体情况</w:t>
      </w:r>
      <w:bookmarkEnd w:id="81"/>
      <w:bookmarkEnd w:id="82"/>
      <w:r>
        <w:rPr>
          <w:rFonts w:hint="eastAsia" w:ascii="楷体" w:hAnsi="楷体" w:eastAsia="楷体" w:cs="楷体"/>
          <w:sz w:val="32"/>
          <w:szCs w:val="32"/>
        </w:rPr>
        <w:t>。</w:t>
      </w:r>
      <w:bookmarkEnd w:id="83"/>
      <w:bookmarkEnd w:id="84"/>
      <w:bookmarkEnd w:id="85"/>
      <w:bookmarkEnd w:id="86"/>
    </w:p>
    <w:p>
      <w:pPr>
        <w:ind w:firstLine="640" w:firstLineChars="200"/>
        <w:rPr>
          <w:rFonts w:hint="eastAsia" w:ascii="仿宋_GB2312" w:hAnsi="ˎ̥" w:eastAsia="仿宋_GB2312" w:cs="Times New Roman"/>
          <w:sz w:val="32"/>
          <w:szCs w:val="32"/>
          <w:lang w:val="en-US" w:eastAsia="zh-CN"/>
        </w:rPr>
      </w:pPr>
      <w:r>
        <w:rPr>
          <w:rFonts w:hint="eastAsia" w:ascii="仿宋_GB2312" w:hAnsi="ˎ̥" w:eastAsia="仿宋_GB2312" w:cs="Times New Roman"/>
          <w:sz w:val="32"/>
          <w:szCs w:val="32"/>
          <w:lang w:eastAsia="zh-CN"/>
        </w:rPr>
        <w:t>202</w:t>
      </w:r>
      <w:r>
        <w:rPr>
          <w:rFonts w:hint="eastAsia" w:ascii="仿宋_GB2312" w:hAnsi="ˎ̥" w:eastAsia="仿宋_GB2312" w:cs="Times New Roman"/>
          <w:sz w:val="32"/>
          <w:szCs w:val="32"/>
          <w:lang w:val="en-US" w:eastAsia="zh-CN"/>
        </w:rPr>
        <w:t>2</w:t>
      </w:r>
      <w:r>
        <w:rPr>
          <w:rFonts w:hint="eastAsia" w:ascii="仿宋_GB2312" w:hAnsi="ˎ̥" w:eastAsia="仿宋_GB2312" w:cs="Times New Roman"/>
          <w:sz w:val="32"/>
          <w:szCs w:val="32"/>
        </w:rPr>
        <w:t>年度一般公共预算财政拨款支出</w:t>
      </w:r>
      <w:r>
        <w:rPr>
          <w:rFonts w:hint="eastAsia" w:ascii="仿宋_GB2312" w:hAnsi="ˎ̥" w:eastAsia="仿宋_GB2312" w:cs="Times New Roman"/>
          <w:sz w:val="32"/>
          <w:szCs w:val="32"/>
          <w:lang w:val="en-US" w:eastAsia="zh-CN"/>
        </w:rPr>
        <w:t>544.05</w:t>
      </w:r>
      <w:r>
        <w:rPr>
          <w:rFonts w:hint="eastAsia" w:ascii="仿宋_GB2312" w:hAnsi="ˎ̥" w:eastAsia="仿宋_GB2312" w:cs="Times New Roman"/>
          <w:sz w:val="32"/>
          <w:szCs w:val="32"/>
        </w:rPr>
        <w:t>万元，占本年支出合计的</w:t>
      </w:r>
      <w:r>
        <w:rPr>
          <w:rFonts w:hint="eastAsia" w:ascii="仿宋_GB2312" w:hAnsi="ˎ̥" w:eastAsia="仿宋_GB2312" w:cs="Times New Roman"/>
          <w:sz w:val="32"/>
          <w:szCs w:val="32"/>
          <w:lang w:val="en-US" w:eastAsia="zh-CN"/>
        </w:rPr>
        <w:t>98.73</w:t>
      </w:r>
      <w:r>
        <w:rPr>
          <w:rFonts w:hint="eastAsia" w:ascii="仿宋_GB2312" w:hAnsi="ˎ̥" w:eastAsia="仿宋_GB2312" w:cs="Times New Roman"/>
          <w:sz w:val="32"/>
          <w:szCs w:val="32"/>
        </w:rPr>
        <w:t>%。与</w:t>
      </w:r>
      <w:r>
        <w:rPr>
          <w:rFonts w:hint="eastAsia" w:ascii="仿宋_GB2312" w:hAnsi="ˎ̥" w:eastAsia="仿宋_GB2312" w:cs="Times New Roman"/>
          <w:sz w:val="32"/>
          <w:szCs w:val="32"/>
          <w:lang w:eastAsia="zh-CN"/>
        </w:rPr>
        <w:t>202</w:t>
      </w:r>
      <w:r>
        <w:rPr>
          <w:rFonts w:hint="eastAsia" w:ascii="仿宋_GB2312" w:hAnsi="ˎ̥" w:eastAsia="仿宋_GB2312" w:cs="Times New Roman"/>
          <w:sz w:val="32"/>
          <w:szCs w:val="32"/>
          <w:lang w:val="en-US" w:eastAsia="zh-CN"/>
        </w:rPr>
        <w:t>1</w:t>
      </w:r>
      <w:r>
        <w:rPr>
          <w:rFonts w:hint="eastAsia" w:ascii="仿宋_GB2312" w:hAnsi="ˎ̥" w:eastAsia="仿宋_GB2312" w:cs="Times New Roman"/>
          <w:sz w:val="32"/>
          <w:szCs w:val="32"/>
        </w:rPr>
        <w:t>年度相比，一般公共预算财政拨款支出</w:t>
      </w:r>
      <w:bookmarkStart w:id="87" w:name="_Toc2711_WPSOffice_Level2"/>
      <w:bookmarkStart w:id="88" w:name="_Toc18793_WPSOffice_Level2"/>
      <w:bookmarkStart w:id="89" w:name="_Toc23864_WPSOffice_Level2"/>
      <w:bookmarkStart w:id="90" w:name="_Toc19075_WPSOffice_Level2"/>
      <w:bookmarkStart w:id="91" w:name="_Toc19535_WPSOffice_Level2"/>
      <w:bookmarkStart w:id="92" w:name="_Toc27767_WPSOffice_Level2"/>
      <w:r>
        <w:rPr>
          <w:rFonts w:hint="eastAsia" w:ascii="仿宋_GB2312" w:hAnsi="ˎ̥" w:eastAsia="仿宋_GB2312" w:cs="Times New Roman"/>
          <w:sz w:val="32"/>
          <w:szCs w:val="32"/>
          <w:lang w:val="en-US" w:eastAsia="zh-CN"/>
        </w:rPr>
        <w:t>增加188.41</w:t>
      </w:r>
      <w:r>
        <w:rPr>
          <w:rFonts w:hint="eastAsia" w:ascii="仿宋_GB2312" w:hAnsi="ˎ̥" w:eastAsia="仿宋_GB2312" w:cs="Times New Roman"/>
          <w:sz w:val="32"/>
          <w:szCs w:val="32"/>
        </w:rPr>
        <w:t>万元，</w:t>
      </w:r>
      <w:r>
        <w:rPr>
          <w:rFonts w:hint="eastAsia" w:ascii="仿宋_GB2312" w:hAnsi="ˎ̥" w:eastAsia="仿宋_GB2312" w:cs="Times New Roman"/>
          <w:sz w:val="32"/>
          <w:szCs w:val="32"/>
          <w:lang w:val="en-US" w:eastAsia="zh-CN"/>
        </w:rPr>
        <w:t>增加65.37</w:t>
      </w:r>
      <w:r>
        <w:rPr>
          <w:rFonts w:hint="eastAsia" w:ascii="仿宋_GB2312" w:hAnsi="ˎ̥" w:eastAsia="仿宋_GB2312" w:cs="Times New Roman"/>
          <w:sz w:val="32"/>
          <w:szCs w:val="32"/>
        </w:rPr>
        <w:t>%</w:t>
      </w:r>
      <w:r>
        <w:rPr>
          <w:rFonts w:hint="eastAsia" w:ascii="仿宋_GB2312" w:hAnsi="ˎ̥" w:eastAsia="仿宋_GB2312" w:cs="Times New Roman"/>
          <w:sz w:val="32"/>
          <w:szCs w:val="32"/>
          <w:lang w:eastAsia="zh-CN"/>
        </w:rPr>
        <w:t>，</w:t>
      </w:r>
      <w:r>
        <w:rPr>
          <w:rFonts w:ascii="仿宋_GB2312" w:hAnsi="ˎ̥" w:eastAsia="仿宋_GB2312" w:cs="仿宋_GB2312"/>
          <w:sz w:val="32"/>
          <w:szCs w:val="32"/>
          <w:highlight w:val="none"/>
        </w:rPr>
        <w:t>主要原因</w:t>
      </w:r>
      <w:r>
        <w:rPr>
          <w:rFonts w:hint="eastAsia" w:ascii="仿宋_GB2312" w:hAnsi="ˎ̥" w:eastAsia="仿宋_GB2312" w:cs="仿宋_GB2312"/>
          <w:sz w:val="32"/>
          <w:szCs w:val="32"/>
          <w:highlight w:val="none"/>
          <w:lang w:val="en-US" w:eastAsia="zh-CN"/>
        </w:rPr>
        <w:t>2022年</w:t>
      </w:r>
      <w:r>
        <w:rPr>
          <w:rFonts w:hint="eastAsia" w:ascii="仿宋_GB2312" w:hAnsi="仿宋" w:eastAsia="仿宋_GB2312"/>
          <w:sz w:val="32"/>
          <w:szCs w:val="32"/>
          <w:lang w:val="en-US" w:eastAsia="zh-CN"/>
        </w:rPr>
        <w:t>人员增加、工资福利支出增加，社保基数提高</w:t>
      </w:r>
      <w:r>
        <w:rPr>
          <w:rFonts w:hint="eastAsia" w:ascii="仿宋_GB2312" w:hAnsi="ˎ̥" w:eastAsia="仿宋_GB2312" w:cs="仿宋_GB2312"/>
          <w:sz w:val="32"/>
          <w:szCs w:val="32"/>
          <w:highlight w:val="none"/>
          <w:lang w:eastAsia="zh-CN"/>
        </w:rPr>
        <w:t>。</w:t>
      </w:r>
    </w:p>
    <w:p>
      <w:pPr>
        <w:ind w:firstLine="640" w:firstLineChars="200"/>
        <w:rPr>
          <w:rFonts w:ascii="楷体" w:hAnsi="楷体" w:eastAsia="楷体" w:cs="楷体"/>
          <w:sz w:val="32"/>
          <w:szCs w:val="32"/>
        </w:rPr>
      </w:pPr>
      <w:r>
        <w:rPr>
          <w:rFonts w:hint="eastAsia" w:ascii="楷体" w:hAnsi="楷体" w:eastAsia="楷体" w:cs="楷体"/>
          <w:sz w:val="32"/>
          <w:szCs w:val="32"/>
        </w:rPr>
        <w:t>（二）</w:t>
      </w:r>
      <w:r>
        <w:rPr>
          <w:rFonts w:hint="eastAsia" w:ascii="楷体" w:hAnsi="楷体" w:eastAsia="楷体" w:cs="楷体"/>
          <w:sz w:val="32"/>
          <w:szCs w:val="32"/>
          <w:highlight w:val="none"/>
        </w:rPr>
        <w:t>一般公共预算财政拨款支出决算结构情况</w:t>
      </w:r>
      <w:bookmarkEnd w:id="87"/>
      <w:bookmarkEnd w:id="88"/>
      <w:r>
        <w:rPr>
          <w:rFonts w:hint="eastAsia" w:ascii="楷体" w:hAnsi="楷体" w:eastAsia="楷体" w:cs="楷体"/>
          <w:sz w:val="32"/>
          <w:szCs w:val="32"/>
        </w:rPr>
        <w:t>。</w:t>
      </w:r>
      <w:bookmarkEnd w:id="89"/>
      <w:bookmarkEnd w:id="90"/>
      <w:bookmarkEnd w:id="91"/>
      <w:bookmarkEnd w:id="92"/>
    </w:p>
    <w:p>
      <w:pPr>
        <w:ind w:firstLine="640" w:firstLineChars="200"/>
        <w:rPr>
          <w:rFonts w:hint="eastAsia" w:ascii="仿宋_GB2312" w:hAnsi="ˎ̥" w:eastAsia="仿宋_GB2312" w:cs="Times New Roman"/>
          <w:sz w:val="32"/>
          <w:szCs w:val="32"/>
          <w:lang w:eastAsia="zh-CN"/>
        </w:rPr>
      </w:pPr>
      <w:r>
        <w:rPr>
          <w:rFonts w:hint="eastAsia" w:ascii="仿宋_GB2312" w:hAnsi="ˎ̥" w:eastAsia="仿宋_GB2312" w:cs="Times New Roman"/>
          <w:sz w:val="32"/>
          <w:szCs w:val="32"/>
          <w:lang w:eastAsia="zh-CN"/>
        </w:rPr>
        <w:t>202</w:t>
      </w:r>
      <w:r>
        <w:rPr>
          <w:rFonts w:hint="eastAsia" w:ascii="仿宋_GB2312" w:hAnsi="ˎ̥" w:eastAsia="仿宋_GB2312" w:cs="Times New Roman"/>
          <w:sz w:val="32"/>
          <w:szCs w:val="32"/>
          <w:lang w:val="en-US" w:eastAsia="zh-CN"/>
        </w:rPr>
        <w:t>2</w:t>
      </w:r>
      <w:r>
        <w:rPr>
          <w:rFonts w:hint="eastAsia" w:ascii="仿宋_GB2312" w:hAnsi="ˎ̥" w:eastAsia="仿宋_GB2312" w:cs="Times New Roman"/>
          <w:sz w:val="32"/>
          <w:szCs w:val="32"/>
        </w:rPr>
        <w:t>年度一般公共预算财政拨款支出</w:t>
      </w:r>
      <w:r>
        <w:rPr>
          <w:rFonts w:hint="eastAsia" w:ascii="仿宋_GB2312" w:hAnsi="ˎ̥" w:eastAsia="仿宋_GB2312" w:cs="Times New Roman"/>
          <w:sz w:val="32"/>
          <w:szCs w:val="32"/>
          <w:lang w:val="en-US" w:eastAsia="zh-CN"/>
        </w:rPr>
        <w:t>544.05</w:t>
      </w:r>
      <w:r>
        <w:rPr>
          <w:rFonts w:hint="eastAsia" w:ascii="仿宋_GB2312" w:hAnsi="ˎ̥" w:eastAsia="仿宋_GB2312" w:cs="Times New Roman"/>
          <w:sz w:val="32"/>
          <w:szCs w:val="32"/>
        </w:rPr>
        <w:t>万元，主要用于以下方面：</w:t>
      </w:r>
      <w:r>
        <w:rPr>
          <w:rFonts w:hint="eastAsia" w:ascii="仿宋_GB2312" w:hAnsi="ˎ̥" w:eastAsia="仿宋_GB2312" w:cs="Times New Roman"/>
          <w:b/>
          <w:bCs/>
          <w:sz w:val="32"/>
          <w:szCs w:val="32"/>
          <w:lang w:val="en-US" w:eastAsia="zh-CN"/>
        </w:rPr>
        <w:t>工资福利</w:t>
      </w:r>
      <w:r>
        <w:rPr>
          <w:rFonts w:hint="eastAsia" w:ascii="仿宋_GB2312" w:hAnsi="ˎ̥" w:eastAsia="仿宋_GB2312" w:cs="Times New Roman"/>
          <w:sz w:val="32"/>
          <w:szCs w:val="32"/>
        </w:rPr>
        <w:t>支出</w:t>
      </w:r>
      <w:r>
        <w:rPr>
          <w:rFonts w:hint="eastAsia" w:ascii="仿宋_GB2312" w:hAnsi="ˎ̥" w:eastAsia="仿宋_GB2312" w:cs="Times New Roman"/>
          <w:sz w:val="32"/>
          <w:szCs w:val="32"/>
          <w:lang w:val="en-US" w:eastAsia="zh-CN"/>
        </w:rPr>
        <w:t>70.21</w:t>
      </w:r>
      <w:r>
        <w:rPr>
          <w:rFonts w:hint="eastAsia" w:ascii="仿宋_GB2312" w:hAnsi="ˎ̥" w:eastAsia="仿宋_GB2312" w:cs="Times New Roman"/>
          <w:sz w:val="32"/>
          <w:szCs w:val="32"/>
        </w:rPr>
        <w:t>万元，占</w:t>
      </w:r>
      <w:r>
        <w:rPr>
          <w:rFonts w:hint="eastAsia" w:ascii="仿宋_GB2312" w:hAnsi="ˎ̥" w:eastAsia="仿宋_GB2312" w:cs="Times New Roman"/>
          <w:sz w:val="32"/>
          <w:szCs w:val="32"/>
          <w:lang w:val="en-US" w:eastAsia="zh-CN"/>
        </w:rPr>
        <w:t>12.9</w:t>
      </w:r>
      <w:r>
        <w:rPr>
          <w:rFonts w:hint="eastAsia" w:ascii="仿宋_GB2312" w:hAnsi="ˎ̥" w:eastAsia="仿宋_GB2312" w:cs="Times New Roman"/>
          <w:sz w:val="32"/>
          <w:szCs w:val="32"/>
        </w:rPr>
        <w:t>%；</w:t>
      </w:r>
      <w:r>
        <w:rPr>
          <w:rFonts w:hint="eastAsia" w:ascii="仿宋_GB2312" w:hAnsi="ˎ̥" w:eastAsia="仿宋_GB2312" w:cs="Times New Roman"/>
          <w:b/>
          <w:sz w:val="32"/>
          <w:szCs w:val="32"/>
          <w:lang w:val="en-US" w:eastAsia="zh-CN"/>
        </w:rPr>
        <w:t>商品和服务</w:t>
      </w:r>
      <w:r>
        <w:rPr>
          <w:rFonts w:hint="eastAsia" w:ascii="仿宋_GB2312" w:hAnsi="ˎ̥" w:eastAsia="仿宋_GB2312" w:cs="Times New Roman"/>
          <w:sz w:val="32"/>
          <w:szCs w:val="32"/>
        </w:rPr>
        <w:t>支出</w:t>
      </w:r>
      <w:r>
        <w:rPr>
          <w:rFonts w:hint="eastAsia" w:ascii="仿宋_GB2312" w:hAnsi="ˎ̥" w:eastAsia="仿宋_GB2312" w:cs="Times New Roman"/>
          <w:sz w:val="32"/>
          <w:szCs w:val="32"/>
          <w:lang w:val="en-US" w:eastAsia="zh-CN"/>
        </w:rPr>
        <w:t>448.38</w:t>
      </w:r>
      <w:r>
        <w:rPr>
          <w:rFonts w:hint="eastAsia" w:ascii="仿宋_GB2312" w:hAnsi="ˎ̥" w:eastAsia="仿宋_GB2312" w:cs="Times New Roman"/>
          <w:sz w:val="32"/>
          <w:szCs w:val="32"/>
        </w:rPr>
        <w:t>万元，</w:t>
      </w:r>
      <w:r>
        <w:rPr>
          <w:rFonts w:hint="eastAsia" w:ascii="仿宋_GB2312" w:hAnsi="ˎ̥" w:eastAsia="仿宋_GB2312" w:cs="Times New Roman"/>
          <w:sz w:val="32"/>
          <w:szCs w:val="32"/>
          <w:lang w:val="en-US" w:eastAsia="zh-CN"/>
        </w:rPr>
        <w:t>占82.42</w:t>
      </w:r>
      <w:r>
        <w:rPr>
          <w:rFonts w:hint="eastAsia" w:ascii="仿宋_GB2312" w:hAnsi="ˎ̥" w:eastAsia="仿宋_GB2312" w:cs="Times New Roman"/>
          <w:sz w:val="32"/>
          <w:szCs w:val="32"/>
        </w:rPr>
        <w:t>%；</w:t>
      </w:r>
      <w:r>
        <w:rPr>
          <w:rFonts w:hint="eastAsia" w:ascii="仿宋_GB2312" w:hAnsi="ˎ̥" w:eastAsia="仿宋_GB2312" w:cs="Times New Roman"/>
          <w:b/>
          <w:bCs/>
          <w:sz w:val="32"/>
          <w:szCs w:val="32"/>
          <w:lang w:val="en-US" w:eastAsia="zh-CN"/>
        </w:rPr>
        <w:t>对个人和家庭的补助</w:t>
      </w:r>
      <w:r>
        <w:rPr>
          <w:rFonts w:hint="eastAsia" w:ascii="仿宋_GB2312" w:hAnsi="ˎ̥" w:eastAsia="仿宋_GB2312" w:cs="Times New Roman"/>
          <w:sz w:val="32"/>
          <w:szCs w:val="32"/>
          <w:lang w:val="en-US" w:eastAsia="zh-CN"/>
        </w:rPr>
        <w:t>支出0.006万元，占0.001；</w:t>
      </w:r>
      <w:r>
        <w:rPr>
          <w:rFonts w:hint="eastAsia" w:ascii="仿宋_GB2312" w:hAnsi="ˎ̥" w:eastAsia="仿宋_GB2312" w:cs="Times New Roman"/>
          <w:b/>
          <w:bCs/>
          <w:sz w:val="32"/>
          <w:szCs w:val="32"/>
          <w:lang w:val="en-US" w:eastAsia="zh-CN"/>
        </w:rPr>
        <w:t>资本性</w:t>
      </w:r>
      <w:r>
        <w:rPr>
          <w:rFonts w:hint="eastAsia" w:ascii="仿宋_GB2312" w:hAnsi="ˎ̥" w:eastAsia="仿宋_GB2312" w:cs="Times New Roman"/>
          <w:sz w:val="32"/>
          <w:szCs w:val="32"/>
        </w:rPr>
        <w:t>支出</w:t>
      </w:r>
      <w:r>
        <w:rPr>
          <w:rFonts w:hint="eastAsia" w:ascii="仿宋_GB2312" w:hAnsi="ˎ̥" w:eastAsia="仿宋_GB2312" w:cs="Times New Roman"/>
          <w:sz w:val="32"/>
          <w:szCs w:val="32"/>
          <w:lang w:val="en-US" w:eastAsia="zh-CN"/>
        </w:rPr>
        <w:t>25.39</w:t>
      </w:r>
      <w:r>
        <w:rPr>
          <w:rFonts w:hint="eastAsia" w:ascii="仿宋_GB2312" w:hAnsi="ˎ̥" w:eastAsia="仿宋_GB2312" w:cs="Times New Roman"/>
          <w:sz w:val="32"/>
          <w:szCs w:val="32"/>
        </w:rPr>
        <w:t>万元，占</w:t>
      </w:r>
      <w:r>
        <w:rPr>
          <w:rFonts w:hint="eastAsia" w:ascii="仿宋_GB2312" w:hAnsi="ˎ̥" w:eastAsia="仿宋_GB2312" w:cs="Times New Roman"/>
          <w:sz w:val="32"/>
          <w:szCs w:val="32"/>
          <w:lang w:val="en-US" w:eastAsia="zh-CN"/>
        </w:rPr>
        <w:t>4.7</w:t>
      </w:r>
      <w:r>
        <w:rPr>
          <w:rFonts w:hint="eastAsia" w:ascii="仿宋_GB2312" w:hAnsi="ˎ̥" w:eastAsia="仿宋_GB2312" w:cs="Times New Roman"/>
          <w:sz w:val="32"/>
          <w:szCs w:val="32"/>
        </w:rPr>
        <w:t>%</w:t>
      </w:r>
      <w:bookmarkStart w:id="93" w:name="_Toc29364_WPSOffice_Level2"/>
      <w:bookmarkStart w:id="94" w:name="_Toc22318_WPSOffice_Level2"/>
      <w:bookmarkStart w:id="95" w:name="_Toc9502_WPSOffice_Level2"/>
      <w:bookmarkStart w:id="96" w:name="_Toc15415_WPSOffice_Level2"/>
      <w:bookmarkStart w:id="97" w:name="_Toc21701_WPSOffice_Level2"/>
      <w:bookmarkStart w:id="98" w:name="_Toc25136_WPSOffice_Level2"/>
      <w:r>
        <w:rPr>
          <w:rFonts w:hint="eastAsia" w:ascii="仿宋_GB2312" w:hAnsi="ˎ̥" w:eastAsia="仿宋_GB2312" w:cs="Times New Roman"/>
          <w:sz w:val="32"/>
          <w:szCs w:val="32"/>
          <w:lang w:eastAsia="zh-CN"/>
        </w:rPr>
        <w:t>。</w:t>
      </w:r>
    </w:p>
    <w:p>
      <w:pPr>
        <w:ind w:firstLine="640" w:firstLineChars="200"/>
        <w:rPr>
          <w:rFonts w:hint="eastAsia" w:ascii="楷体" w:hAnsi="楷体" w:eastAsia="楷体" w:cs="楷体"/>
          <w:sz w:val="32"/>
          <w:szCs w:val="32"/>
          <w:highlight w:val="none"/>
        </w:rPr>
      </w:pPr>
      <w:r>
        <w:rPr>
          <w:rFonts w:hint="eastAsia" w:ascii="楷体" w:hAnsi="楷体" w:eastAsia="楷体" w:cs="楷体"/>
          <w:sz w:val="32"/>
          <w:szCs w:val="32"/>
          <w:highlight w:val="none"/>
        </w:rPr>
        <w:t>（三）一般公共预算财政拨款支出决算具体情况。</w:t>
      </w:r>
      <w:bookmarkEnd w:id="93"/>
      <w:bookmarkEnd w:id="94"/>
      <w:bookmarkEnd w:id="95"/>
      <w:bookmarkEnd w:id="96"/>
      <w:bookmarkEnd w:id="97"/>
      <w:bookmarkEnd w:id="98"/>
    </w:p>
    <w:p>
      <w:pPr>
        <w:ind w:firstLine="640" w:firstLineChars="200"/>
        <w:rPr>
          <w:rFonts w:hint="eastAsia" w:ascii="仿宋_GB2312" w:hAnsi="ˎ̥" w:eastAsia="仿宋_GB2312" w:cs="Times New Roman"/>
          <w:sz w:val="32"/>
          <w:szCs w:val="32"/>
          <w:highlight w:val="none"/>
        </w:rPr>
      </w:pPr>
      <w:r>
        <w:rPr>
          <w:rFonts w:hint="eastAsia" w:ascii="仿宋_GB2312" w:hAnsi="ˎ̥" w:eastAsia="仿宋_GB2312" w:cs="Times New Roman"/>
          <w:sz w:val="32"/>
          <w:szCs w:val="32"/>
          <w:highlight w:val="none"/>
          <w:lang w:eastAsia="zh-CN"/>
        </w:rPr>
        <w:t>202</w:t>
      </w:r>
      <w:r>
        <w:rPr>
          <w:rFonts w:hint="eastAsia" w:ascii="仿宋_GB2312" w:hAnsi="ˎ̥" w:eastAsia="仿宋_GB2312" w:cs="Times New Roman"/>
          <w:sz w:val="32"/>
          <w:szCs w:val="32"/>
          <w:highlight w:val="none"/>
          <w:lang w:val="en-US" w:eastAsia="zh-CN"/>
        </w:rPr>
        <w:t>2</w:t>
      </w:r>
      <w:r>
        <w:rPr>
          <w:rFonts w:hint="eastAsia" w:ascii="仿宋_GB2312" w:hAnsi="ˎ̥" w:eastAsia="仿宋_GB2312" w:cs="Times New Roman"/>
          <w:sz w:val="32"/>
          <w:szCs w:val="32"/>
          <w:highlight w:val="none"/>
        </w:rPr>
        <w:t>年度一般公共预算财政拨款支出年初预算为</w:t>
      </w:r>
      <w:r>
        <w:rPr>
          <w:rFonts w:hint="eastAsia" w:ascii="仿宋_GB2312" w:hAnsi="ˎ̥" w:eastAsia="仿宋_GB2312" w:cs="Times New Roman"/>
          <w:sz w:val="32"/>
          <w:szCs w:val="32"/>
          <w:highlight w:val="none"/>
          <w:lang w:val="en-US" w:eastAsia="zh-CN"/>
        </w:rPr>
        <w:t>427.8</w:t>
      </w:r>
      <w:r>
        <w:rPr>
          <w:rFonts w:hint="eastAsia" w:ascii="仿宋_GB2312" w:hAnsi="ˎ̥" w:eastAsia="仿宋_GB2312" w:cs="Times New Roman"/>
          <w:sz w:val="32"/>
          <w:szCs w:val="32"/>
          <w:highlight w:val="none"/>
        </w:rPr>
        <w:t>万元，支出决算为</w:t>
      </w:r>
      <w:r>
        <w:rPr>
          <w:rFonts w:hint="eastAsia" w:ascii="仿宋_GB2312" w:hAnsi="ˎ̥" w:eastAsia="仿宋_GB2312" w:cs="Times New Roman"/>
          <w:sz w:val="32"/>
          <w:szCs w:val="32"/>
          <w:highlight w:val="none"/>
          <w:lang w:val="en-US" w:eastAsia="zh-CN"/>
        </w:rPr>
        <w:t>551.06</w:t>
      </w:r>
      <w:r>
        <w:rPr>
          <w:rFonts w:hint="eastAsia" w:ascii="仿宋_GB2312" w:hAnsi="ˎ̥" w:eastAsia="仿宋_GB2312" w:cs="Times New Roman"/>
          <w:sz w:val="32"/>
          <w:szCs w:val="32"/>
          <w:highlight w:val="none"/>
        </w:rPr>
        <w:t>万元，完成年初预算的</w:t>
      </w:r>
      <w:r>
        <w:rPr>
          <w:rFonts w:hint="eastAsia" w:ascii="仿宋_GB2312" w:hAnsi="ˎ̥" w:eastAsia="仿宋_GB2312" w:cs="Times New Roman"/>
          <w:sz w:val="32"/>
          <w:szCs w:val="32"/>
          <w:highlight w:val="none"/>
          <w:lang w:val="en-US" w:eastAsia="zh-CN"/>
        </w:rPr>
        <w:t>100</w:t>
      </w:r>
      <w:r>
        <w:rPr>
          <w:rFonts w:hint="eastAsia" w:ascii="仿宋_GB2312" w:hAnsi="ˎ̥" w:eastAsia="仿宋_GB2312" w:cs="Times New Roman"/>
          <w:sz w:val="32"/>
          <w:szCs w:val="32"/>
          <w:highlight w:val="none"/>
        </w:rPr>
        <w:t>%。其中：</w:t>
      </w:r>
    </w:p>
    <w:p>
      <w:pPr>
        <w:ind w:firstLine="640" w:firstLineChars="200"/>
        <w:rPr>
          <w:rFonts w:ascii="仿宋_GB2312" w:hAnsi="ˎ̥" w:eastAsia="仿宋_GB2312" w:cs="Times New Roman"/>
          <w:b/>
          <w:sz w:val="32"/>
          <w:szCs w:val="32"/>
          <w:highlight w:val="none"/>
        </w:rPr>
      </w:pPr>
      <w:r>
        <w:rPr>
          <w:rFonts w:hint="eastAsia" w:ascii="仿宋_GB2312" w:hAnsi="ˎ̥" w:eastAsia="仿宋_GB2312" w:cs="Times New Roman"/>
          <w:sz w:val="32"/>
          <w:szCs w:val="32"/>
          <w:highlight w:val="none"/>
        </w:rPr>
        <w:t>1.</w:t>
      </w:r>
      <w:r>
        <w:rPr>
          <w:rFonts w:hint="eastAsia" w:ascii="仿宋_GB2312" w:hAnsi="ˎ̥" w:eastAsia="仿宋_GB2312" w:cs="Times New Roman"/>
          <w:b/>
          <w:sz w:val="32"/>
          <w:szCs w:val="32"/>
          <w:highlight w:val="none"/>
        </w:rPr>
        <w:t>教育</w:t>
      </w:r>
      <w:r>
        <w:rPr>
          <w:rFonts w:hint="eastAsia" w:ascii="仿宋_GB2312" w:hAnsi="ˎ̥" w:eastAsia="仿宋_GB2312" w:cs="Times New Roman"/>
          <w:b/>
          <w:sz w:val="32"/>
          <w:szCs w:val="32"/>
          <w:highlight w:val="none"/>
          <w:lang w:val="en-US" w:eastAsia="zh-CN"/>
        </w:rPr>
        <w:t>支出</w:t>
      </w:r>
      <w:r>
        <w:rPr>
          <w:rFonts w:hint="eastAsia" w:ascii="仿宋_GB2312" w:hAnsi="ˎ̥" w:eastAsia="仿宋_GB2312" w:cs="Times New Roman"/>
          <w:b/>
          <w:sz w:val="32"/>
          <w:szCs w:val="32"/>
          <w:highlight w:val="none"/>
        </w:rPr>
        <w:t>（类）</w:t>
      </w:r>
      <w:r>
        <w:rPr>
          <w:rFonts w:hint="eastAsia" w:ascii="仿宋_GB2312" w:hAnsi="ˎ̥" w:eastAsia="仿宋_GB2312" w:cs="Times New Roman"/>
          <w:b/>
          <w:sz w:val="32"/>
          <w:szCs w:val="32"/>
          <w:highlight w:val="none"/>
          <w:lang w:val="en-US" w:eastAsia="zh-CN"/>
        </w:rPr>
        <w:t>教育管理事务</w:t>
      </w:r>
      <w:r>
        <w:rPr>
          <w:rFonts w:hint="eastAsia" w:ascii="仿宋_GB2312" w:hAnsi="ˎ̥" w:eastAsia="仿宋_GB2312" w:cs="Times New Roman"/>
          <w:b/>
          <w:sz w:val="32"/>
          <w:szCs w:val="32"/>
          <w:highlight w:val="none"/>
        </w:rPr>
        <w:t>（款）</w:t>
      </w:r>
      <w:r>
        <w:rPr>
          <w:rFonts w:hint="eastAsia" w:ascii="仿宋_GB2312" w:hAnsi="ˎ̥" w:eastAsia="仿宋_GB2312" w:cs="Times New Roman"/>
          <w:b/>
          <w:sz w:val="32"/>
          <w:szCs w:val="32"/>
          <w:highlight w:val="none"/>
          <w:lang w:val="en-US" w:eastAsia="zh-CN"/>
        </w:rPr>
        <w:t>其他教育管理事务支出</w:t>
      </w:r>
      <w:r>
        <w:rPr>
          <w:rFonts w:hint="eastAsia" w:ascii="仿宋_GB2312" w:hAnsi="ˎ̥" w:eastAsia="仿宋_GB2312" w:cs="Times New Roman"/>
          <w:b/>
          <w:sz w:val="32"/>
          <w:szCs w:val="32"/>
          <w:highlight w:val="none"/>
        </w:rPr>
        <w:t>（项）。</w:t>
      </w:r>
    </w:p>
    <w:p>
      <w:pPr>
        <w:rPr>
          <w:rFonts w:ascii="仿宋_GB2312" w:hAnsi="ˎ̥" w:eastAsia="仿宋_GB2312" w:cs="Times New Roman"/>
          <w:sz w:val="32"/>
          <w:szCs w:val="32"/>
          <w:highlight w:val="none"/>
        </w:rPr>
      </w:pPr>
      <w:r>
        <w:rPr>
          <w:rFonts w:hint="eastAsia" w:ascii="仿宋_GB2312" w:hAnsi="ˎ̥" w:eastAsia="仿宋_GB2312" w:cs="Times New Roman"/>
          <w:sz w:val="32"/>
          <w:szCs w:val="32"/>
          <w:highlight w:val="none"/>
        </w:rPr>
        <w:t>年初预算为</w:t>
      </w:r>
      <w:r>
        <w:rPr>
          <w:rFonts w:hint="eastAsia" w:ascii="仿宋_GB2312" w:hAnsi="ˎ̥" w:eastAsia="仿宋_GB2312" w:cs="Times New Roman"/>
          <w:sz w:val="32"/>
          <w:szCs w:val="32"/>
          <w:highlight w:val="none"/>
          <w:lang w:val="en-US" w:eastAsia="zh-CN"/>
        </w:rPr>
        <w:t>2.6</w:t>
      </w:r>
      <w:r>
        <w:rPr>
          <w:rFonts w:hint="eastAsia" w:ascii="仿宋_GB2312" w:hAnsi="ˎ̥" w:eastAsia="仿宋_GB2312" w:cs="Times New Roman"/>
          <w:sz w:val="32"/>
          <w:szCs w:val="32"/>
          <w:highlight w:val="none"/>
        </w:rPr>
        <w:t>万元，支出决算为</w:t>
      </w:r>
      <w:r>
        <w:rPr>
          <w:rFonts w:hint="eastAsia" w:ascii="仿宋_GB2312" w:hAnsi="ˎ̥" w:eastAsia="仿宋_GB2312" w:cs="Times New Roman"/>
          <w:sz w:val="32"/>
          <w:szCs w:val="32"/>
          <w:highlight w:val="none"/>
          <w:lang w:val="en-US" w:eastAsia="zh-CN"/>
        </w:rPr>
        <w:t>2.6</w:t>
      </w:r>
      <w:r>
        <w:rPr>
          <w:rFonts w:hint="eastAsia" w:ascii="仿宋_GB2312" w:hAnsi="ˎ̥" w:eastAsia="仿宋_GB2312" w:cs="Times New Roman"/>
          <w:sz w:val="32"/>
          <w:szCs w:val="32"/>
          <w:highlight w:val="none"/>
        </w:rPr>
        <w:t>万元，完成年初预算的</w:t>
      </w:r>
      <w:r>
        <w:rPr>
          <w:rFonts w:hint="eastAsia" w:ascii="仿宋_GB2312" w:hAnsi="ˎ̥" w:eastAsia="仿宋_GB2312" w:cs="Times New Roman"/>
          <w:sz w:val="32"/>
          <w:szCs w:val="32"/>
          <w:highlight w:val="none"/>
          <w:lang w:val="en-US" w:eastAsia="zh-CN"/>
        </w:rPr>
        <w:t>100</w:t>
      </w:r>
      <w:r>
        <w:rPr>
          <w:rFonts w:hint="eastAsia" w:ascii="仿宋_GB2312" w:hAnsi="ˎ̥" w:eastAsia="仿宋_GB2312" w:cs="Times New Roman"/>
          <w:sz w:val="32"/>
          <w:szCs w:val="32"/>
          <w:highlight w:val="none"/>
        </w:rPr>
        <w:t>%。</w:t>
      </w:r>
    </w:p>
    <w:p>
      <w:pPr>
        <w:ind w:firstLine="640" w:firstLineChars="200"/>
        <w:rPr>
          <w:rFonts w:ascii="仿宋_GB2312" w:hAnsi="ˎ̥" w:eastAsia="仿宋_GB2312" w:cs="Times New Roman"/>
          <w:b/>
          <w:sz w:val="32"/>
          <w:szCs w:val="32"/>
          <w:highlight w:val="none"/>
        </w:rPr>
      </w:pPr>
      <w:r>
        <w:rPr>
          <w:rFonts w:hint="eastAsia" w:ascii="仿宋_GB2312" w:hAnsi="ˎ̥" w:eastAsia="仿宋_GB2312" w:cs="Times New Roman"/>
          <w:sz w:val="32"/>
          <w:szCs w:val="32"/>
          <w:highlight w:val="none"/>
        </w:rPr>
        <w:t>2.</w:t>
      </w:r>
      <w:r>
        <w:rPr>
          <w:rFonts w:hint="eastAsia" w:ascii="仿宋_GB2312" w:hAnsi="ˎ̥" w:eastAsia="仿宋_GB2312" w:cs="Times New Roman"/>
          <w:b/>
          <w:sz w:val="32"/>
          <w:szCs w:val="32"/>
          <w:highlight w:val="none"/>
        </w:rPr>
        <w:t>教育</w:t>
      </w:r>
      <w:r>
        <w:rPr>
          <w:rFonts w:hint="eastAsia" w:ascii="仿宋_GB2312" w:hAnsi="ˎ̥" w:eastAsia="仿宋_GB2312" w:cs="Times New Roman"/>
          <w:b/>
          <w:sz w:val="32"/>
          <w:szCs w:val="32"/>
          <w:highlight w:val="none"/>
          <w:lang w:val="en-US" w:eastAsia="zh-CN"/>
        </w:rPr>
        <w:t>支出</w:t>
      </w:r>
      <w:r>
        <w:rPr>
          <w:rFonts w:hint="eastAsia" w:ascii="仿宋_GB2312" w:hAnsi="ˎ̥" w:eastAsia="仿宋_GB2312" w:cs="Times New Roman"/>
          <w:b/>
          <w:sz w:val="32"/>
          <w:szCs w:val="32"/>
          <w:highlight w:val="none"/>
        </w:rPr>
        <w:t>（类）普通教育（款）</w:t>
      </w:r>
      <w:r>
        <w:rPr>
          <w:rFonts w:hint="eastAsia" w:ascii="仿宋_GB2312" w:hAnsi="ˎ̥" w:eastAsia="仿宋_GB2312" w:cs="Times New Roman"/>
          <w:b/>
          <w:sz w:val="32"/>
          <w:szCs w:val="32"/>
          <w:highlight w:val="none"/>
          <w:lang w:val="en-US" w:eastAsia="zh-CN"/>
        </w:rPr>
        <w:t>学前教育</w:t>
      </w:r>
      <w:r>
        <w:rPr>
          <w:rFonts w:hint="eastAsia" w:ascii="仿宋_GB2312" w:hAnsi="ˎ̥" w:eastAsia="仿宋_GB2312" w:cs="Times New Roman"/>
          <w:b/>
          <w:sz w:val="32"/>
          <w:szCs w:val="32"/>
          <w:highlight w:val="none"/>
        </w:rPr>
        <w:t>（项）。</w:t>
      </w:r>
    </w:p>
    <w:p>
      <w:pPr>
        <w:rPr>
          <w:rFonts w:ascii="仿宋_GB2312" w:hAnsi="ˎ̥" w:eastAsia="仿宋_GB2312" w:cs="Times New Roman"/>
          <w:sz w:val="32"/>
          <w:szCs w:val="32"/>
          <w:highlight w:val="none"/>
        </w:rPr>
      </w:pPr>
      <w:r>
        <w:rPr>
          <w:rFonts w:hint="eastAsia" w:ascii="仿宋_GB2312" w:hAnsi="ˎ̥" w:eastAsia="仿宋_GB2312" w:cs="Times New Roman"/>
          <w:sz w:val="32"/>
          <w:szCs w:val="32"/>
          <w:highlight w:val="none"/>
        </w:rPr>
        <w:t>年初预算为</w:t>
      </w:r>
      <w:r>
        <w:rPr>
          <w:rFonts w:hint="eastAsia" w:ascii="仿宋_GB2312" w:hAnsi="ˎ̥" w:eastAsia="仿宋_GB2312" w:cs="Times New Roman"/>
          <w:sz w:val="32"/>
          <w:szCs w:val="32"/>
          <w:highlight w:val="none"/>
          <w:lang w:val="en-US" w:eastAsia="zh-CN"/>
        </w:rPr>
        <w:t>531.83</w:t>
      </w:r>
      <w:r>
        <w:rPr>
          <w:rFonts w:hint="eastAsia" w:ascii="仿宋_GB2312" w:hAnsi="ˎ̥" w:eastAsia="仿宋_GB2312" w:cs="Times New Roman"/>
          <w:sz w:val="32"/>
          <w:szCs w:val="32"/>
          <w:highlight w:val="none"/>
        </w:rPr>
        <w:t>万元，支出决算为</w:t>
      </w:r>
      <w:r>
        <w:rPr>
          <w:rFonts w:hint="eastAsia" w:ascii="仿宋_GB2312" w:hAnsi="ˎ̥" w:eastAsia="仿宋_GB2312" w:cs="Times New Roman"/>
          <w:sz w:val="32"/>
          <w:szCs w:val="32"/>
          <w:highlight w:val="none"/>
          <w:lang w:val="en-US" w:eastAsia="zh-CN"/>
        </w:rPr>
        <w:t>531.83</w:t>
      </w:r>
      <w:r>
        <w:rPr>
          <w:rFonts w:hint="eastAsia" w:ascii="仿宋_GB2312" w:hAnsi="ˎ̥" w:eastAsia="仿宋_GB2312" w:cs="Times New Roman"/>
          <w:sz w:val="32"/>
          <w:szCs w:val="32"/>
          <w:highlight w:val="none"/>
        </w:rPr>
        <w:t>万元，完成年初预算的</w:t>
      </w:r>
      <w:r>
        <w:rPr>
          <w:rFonts w:hint="eastAsia" w:ascii="仿宋_GB2312" w:hAnsi="ˎ̥" w:eastAsia="仿宋_GB2312" w:cs="Times New Roman"/>
          <w:sz w:val="32"/>
          <w:szCs w:val="32"/>
          <w:highlight w:val="none"/>
          <w:lang w:val="en-US" w:eastAsia="zh-CN"/>
        </w:rPr>
        <w:t>100</w:t>
      </w:r>
      <w:r>
        <w:rPr>
          <w:rFonts w:hint="eastAsia" w:ascii="仿宋_GB2312" w:hAnsi="ˎ̥" w:eastAsia="仿宋_GB2312" w:cs="Times New Roman"/>
          <w:sz w:val="32"/>
          <w:szCs w:val="32"/>
          <w:highlight w:val="none"/>
        </w:rPr>
        <w:t>%。</w:t>
      </w:r>
    </w:p>
    <w:p>
      <w:pPr>
        <w:ind w:firstLine="640" w:firstLineChars="200"/>
        <w:rPr>
          <w:rFonts w:ascii="仿宋_GB2312" w:hAnsi="ˎ̥" w:eastAsia="仿宋_GB2312" w:cs="Times New Roman"/>
          <w:sz w:val="32"/>
          <w:szCs w:val="32"/>
          <w:highlight w:val="none"/>
        </w:rPr>
      </w:pPr>
      <w:r>
        <w:rPr>
          <w:rFonts w:hint="eastAsia" w:ascii="仿宋_GB2312" w:hAnsi="ˎ̥" w:eastAsia="仿宋_GB2312" w:cs="Times New Roman"/>
          <w:sz w:val="32"/>
          <w:szCs w:val="32"/>
          <w:highlight w:val="none"/>
        </w:rPr>
        <w:t>3.</w:t>
      </w:r>
      <w:r>
        <w:rPr>
          <w:rFonts w:hint="eastAsia" w:ascii="仿宋_GB2312" w:hAnsi="ˎ̥" w:eastAsia="仿宋_GB2312" w:cs="Times New Roman"/>
          <w:b/>
          <w:sz w:val="32"/>
          <w:szCs w:val="32"/>
          <w:highlight w:val="none"/>
          <w:lang w:val="en-US" w:eastAsia="zh-CN"/>
        </w:rPr>
        <w:t>社会保障和就业支出</w:t>
      </w:r>
      <w:r>
        <w:rPr>
          <w:rFonts w:hint="eastAsia" w:ascii="仿宋_GB2312" w:hAnsi="ˎ̥" w:eastAsia="仿宋_GB2312" w:cs="Times New Roman"/>
          <w:b/>
          <w:sz w:val="32"/>
          <w:szCs w:val="32"/>
          <w:highlight w:val="none"/>
        </w:rPr>
        <w:t>（类）</w:t>
      </w:r>
      <w:r>
        <w:rPr>
          <w:rFonts w:hint="eastAsia" w:ascii="仿宋_GB2312" w:hAnsi="ˎ̥" w:eastAsia="仿宋_GB2312" w:cs="Times New Roman"/>
          <w:b/>
          <w:sz w:val="32"/>
          <w:szCs w:val="32"/>
          <w:highlight w:val="none"/>
          <w:lang w:val="en-US" w:eastAsia="zh-CN"/>
        </w:rPr>
        <w:t>行政事业单位养老支出</w:t>
      </w:r>
      <w:r>
        <w:rPr>
          <w:rFonts w:hint="eastAsia" w:ascii="仿宋_GB2312" w:hAnsi="ˎ̥" w:eastAsia="仿宋_GB2312" w:cs="Times New Roman"/>
          <w:b/>
          <w:sz w:val="32"/>
          <w:szCs w:val="32"/>
          <w:highlight w:val="none"/>
        </w:rPr>
        <w:t>（款）</w:t>
      </w:r>
      <w:r>
        <w:rPr>
          <w:rFonts w:hint="eastAsia" w:ascii="仿宋_GB2312" w:hAnsi="ˎ̥" w:eastAsia="仿宋_GB2312" w:cs="Times New Roman"/>
          <w:b/>
          <w:sz w:val="32"/>
          <w:szCs w:val="32"/>
          <w:highlight w:val="none"/>
          <w:lang w:val="en-US" w:eastAsia="zh-CN"/>
        </w:rPr>
        <w:t>机关事业单位基本养老保险缴费支出</w:t>
      </w:r>
      <w:r>
        <w:rPr>
          <w:rFonts w:hint="eastAsia" w:ascii="仿宋_GB2312" w:hAnsi="ˎ̥" w:eastAsia="仿宋_GB2312" w:cs="Times New Roman"/>
          <w:b/>
          <w:sz w:val="32"/>
          <w:szCs w:val="32"/>
          <w:highlight w:val="none"/>
        </w:rPr>
        <w:t>（项）</w:t>
      </w:r>
    </w:p>
    <w:p>
      <w:pPr>
        <w:rPr>
          <w:rFonts w:hint="eastAsia" w:ascii="仿宋_GB2312" w:hAnsi="ˎ̥" w:eastAsia="仿宋_GB2312" w:cs="Times New Roman"/>
          <w:sz w:val="32"/>
          <w:szCs w:val="32"/>
          <w:highlight w:val="none"/>
        </w:rPr>
      </w:pPr>
      <w:r>
        <w:rPr>
          <w:rFonts w:hint="eastAsia" w:ascii="仿宋_GB2312" w:hAnsi="ˎ̥" w:eastAsia="仿宋_GB2312" w:cs="Times New Roman"/>
          <w:sz w:val="32"/>
          <w:szCs w:val="32"/>
          <w:highlight w:val="none"/>
        </w:rPr>
        <w:t>年初预算为</w:t>
      </w:r>
      <w:r>
        <w:rPr>
          <w:rFonts w:hint="eastAsia" w:ascii="仿宋_GB2312" w:hAnsi="ˎ̥" w:eastAsia="仿宋_GB2312" w:cs="Times New Roman"/>
          <w:sz w:val="32"/>
          <w:szCs w:val="32"/>
          <w:highlight w:val="none"/>
          <w:lang w:val="en-US" w:eastAsia="zh-CN"/>
        </w:rPr>
        <w:t>5</w:t>
      </w:r>
      <w:r>
        <w:rPr>
          <w:rFonts w:hint="eastAsia" w:ascii="仿宋_GB2312" w:hAnsi="ˎ̥" w:eastAsia="仿宋_GB2312" w:cs="Times New Roman"/>
          <w:sz w:val="32"/>
          <w:szCs w:val="32"/>
          <w:highlight w:val="none"/>
        </w:rPr>
        <w:t>万元，支出决算为</w:t>
      </w:r>
      <w:r>
        <w:rPr>
          <w:rFonts w:hint="eastAsia" w:ascii="仿宋_GB2312" w:hAnsi="ˎ̥" w:eastAsia="仿宋_GB2312" w:cs="Times New Roman"/>
          <w:sz w:val="32"/>
          <w:szCs w:val="32"/>
          <w:highlight w:val="none"/>
          <w:lang w:val="en-US" w:eastAsia="zh-CN"/>
        </w:rPr>
        <w:t>5</w:t>
      </w:r>
      <w:r>
        <w:rPr>
          <w:rFonts w:hint="eastAsia" w:ascii="仿宋_GB2312" w:hAnsi="ˎ̥" w:eastAsia="仿宋_GB2312" w:cs="Times New Roman"/>
          <w:sz w:val="32"/>
          <w:szCs w:val="32"/>
          <w:highlight w:val="none"/>
        </w:rPr>
        <w:t>万元，完成年初预算的</w:t>
      </w:r>
      <w:r>
        <w:rPr>
          <w:rFonts w:hint="eastAsia" w:ascii="仿宋_GB2312" w:hAnsi="ˎ̥" w:eastAsia="仿宋_GB2312" w:cs="Times New Roman"/>
          <w:sz w:val="32"/>
          <w:szCs w:val="32"/>
          <w:highlight w:val="none"/>
          <w:lang w:val="en-US" w:eastAsia="zh-CN"/>
        </w:rPr>
        <w:t>100</w:t>
      </w:r>
      <w:r>
        <w:rPr>
          <w:rFonts w:hint="eastAsia" w:ascii="仿宋_GB2312" w:hAnsi="ˎ̥" w:eastAsia="仿宋_GB2312" w:cs="Times New Roman"/>
          <w:sz w:val="32"/>
          <w:szCs w:val="32"/>
          <w:highlight w:val="none"/>
        </w:rPr>
        <w:t>%。</w:t>
      </w:r>
    </w:p>
    <w:p>
      <w:pPr>
        <w:ind w:firstLine="640" w:firstLineChars="200"/>
        <w:rPr>
          <w:rFonts w:hint="eastAsia" w:ascii="仿宋_GB2312" w:hAnsi="ˎ̥" w:eastAsia="仿宋_GB2312" w:cs="Times New Roman"/>
          <w:b/>
          <w:sz w:val="32"/>
          <w:szCs w:val="32"/>
          <w:highlight w:val="none"/>
        </w:rPr>
      </w:pPr>
      <w:r>
        <w:rPr>
          <w:rFonts w:hint="eastAsia" w:ascii="仿宋_GB2312" w:hAnsi="ˎ̥" w:eastAsia="仿宋_GB2312" w:cs="Times New Roman"/>
          <w:sz w:val="32"/>
          <w:szCs w:val="32"/>
          <w:highlight w:val="none"/>
          <w:lang w:val="en-US" w:eastAsia="zh-CN"/>
        </w:rPr>
        <w:t>4.</w:t>
      </w:r>
      <w:r>
        <w:rPr>
          <w:rFonts w:hint="eastAsia" w:ascii="仿宋_GB2312" w:hAnsi="ˎ̥" w:eastAsia="仿宋_GB2312" w:cs="Times New Roman"/>
          <w:b/>
          <w:sz w:val="32"/>
          <w:szCs w:val="32"/>
          <w:highlight w:val="none"/>
          <w:lang w:val="en-US" w:eastAsia="zh-CN"/>
        </w:rPr>
        <w:t>社会保障和就业支出</w:t>
      </w:r>
      <w:r>
        <w:rPr>
          <w:rFonts w:hint="eastAsia" w:ascii="仿宋_GB2312" w:hAnsi="ˎ̥" w:eastAsia="仿宋_GB2312" w:cs="Times New Roman"/>
          <w:b/>
          <w:sz w:val="32"/>
          <w:szCs w:val="32"/>
          <w:highlight w:val="none"/>
        </w:rPr>
        <w:t>（类）</w:t>
      </w:r>
      <w:r>
        <w:rPr>
          <w:rFonts w:hint="eastAsia" w:ascii="仿宋_GB2312" w:hAnsi="ˎ̥" w:eastAsia="仿宋_GB2312" w:cs="Times New Roman"/>
          <w:b/>
          <w:sz w:val="32"/>
          <w:szCs w:val="32"/>
          <w:highlight w:val="none"/>
          <w:lang w:val="en-US" w:eastAsia="zh-CN"/>
        </w:rPr>
        <w:t>行政事业单位养老支出</w:t>
      </w:r>
      <w:r>
        <w:rPr>
          <w:rFonts w:hint="eastAsia" w:ascii="仿宋_GB2312" w:hAnsi="ˎ̥" w:eastAsia="仿宋_GB2312" w:cs="Times New Roman"/>
          <w:b/>
          <w:sz w:val="32"/>
          <w:szCs w:val="32"/>
          <w:highlight w:val="none"/>
        </w:rPr>
        <w:t>（款）</w:t>
      </w:r>
      <w:r>
        <w:rPr>
          <w:rFonts w:hint="eastAsia" w:ascii="仿宋_GB2312" w:hAnsi="ˎ̥" w:eastAsia="仿宋_GB2312" w:cs="Times New Roman"/>
          <w:b/>
          <w:sz w:val="32"/>
          <w:szCs w:val="32"/>
          <w:highlight w:val="none"/>
          <w:lang w:val="en-US" w:eastAsia="zh-CN"/>
        </w:rPr>
        <w:t>机关事业单位职业年金缴费支出</w:t>
      </w:r>
      <w:r>
        <w:rPr>
          <w:rFonts w:hint="eastAsia" w:ascii="仿宋_GB2312" w:hAnsi="ˎ̥" w:eastAsia="仿宋_GB2312" w:cs="Times New Roman"/>
          <w:b/>
          <w:sz w:val="32"/>
          <w:szCs w:val="32"/>
          <w:highlight w:val="none"/>
        </w:rPr>
        <w:t>（项）</w:t>
      </w:r>
    </w:p>
    <w:p>
      <w:pPr>
        <w:rPr>
          <w:rFonts w:hint="eastAsia" w:ascii="仿宋_GB2312" w:hAnsi="ˎ̥" w:eastAsia="仿宋_GB2312" w:cs="Times New Roman"/>
          <w:sz w:val="32"/>
          <w:szCs w:val="32"/>
          <w:highlight w:val="none"/>
        </w:rPr>
      </w:pPr>
      <w:r>
        <w:rPr>
          <w:rFonts w:hint="eastAsia" w:ascii="仿宋_GB2312" w:hAnsi="ˎ̥" w:eastAsia="仿宋_GB2312" w:cs="Times New Roman"/>
          <w:sz w:val="32"/>
          <w:szCs w:val="32"/>
          <w:highlight w:val="none"/>
        </w:rPr>
        <w:t>年初预算为</w:t>
      </w:r>
      <w:r>
        <w:rPr>
          <w:rFonts w:hint="eastAsia" w:ascii="仿宋_GB2312" w:hAnsi="ˎ̥" w:eastAsia="仿宋_GB2312" w:cs="Times New Roman"/>
          <w:sz w:val="32"/>
          <w:szCs w:val="32"/>
          <w:highlight w:val="none"/>
          <w:lang w:val="en-US" w:eastAsia="zh-CN"/>
        </w:rPr>
        <w:t>0.69</w:t>
      </w:r>
      <w:r>
        <w:rPr>
          <w:rFonts w:hint="eastAsia" w:ascii="仿宋_GB2312" w:hAnsi="ˎ̥" w:eastAsia="仿宋_GB2312" w:cs="Times New Roman"/>
          <w:sz w:val="32"/>
          <w:szCs w:val="32"/>
          <w:highlight w:val="none"/>
        </w:rPr>
        <w:t>万元，支出决算为</w:t>
      </w:r>
      <w:r>
        <w:rPr>
          <w:rFonts w:hint="eastAsia" w:ascii="仿宋_GB2312" w:hAnsi="ˎ̥" w:eastAsia="仿宋_GB2312" w:cs="Times New Roman"/>
          <w:sz w:val="32"/>
          <w:szCs w:val="32"/>
          <w:highlight w:val="none"/>
          <w:lang w:val="en-US" w:eastAsia="zh-CN"/>
        </w:rPr>
        <w:t>0.69</w:t>
      </w:r>
      <w:r>
        <w:rPr>
          <w:rFonts w:hint="eastAsia" w:ascii="仿宋_GB2312" w:hAnsi="ˎ̥" w:eastAsia="仿宋_GB2312" w:cs="Times New Roman"/>
          <w:sz w:val="32"/>
          <w:szCs w:val="32"/>
          <w:highlight w:val="none"/>
        </w:rPr>
        <w:t>万元，完成年初预算的</w:t>
      </w:r>
      <w:r>
        <w:rPr>
          <w:rFonts w:hint="eastAsia" w:ascii="仿宋_GB2312" w:hAnsi="ˎ̥" w:eastAsia="仿宋_GB2312" w:cs="Times New Roman"/>
          <w:sz w:val="32"/>
          <w:szCs w:val="32"/>
          <w:highlight w:val="none"/>
          <w:lang w:val="en-US" w:eastAsia="zh-CN"/>
        </w:rPr>
        <w:t>100</w:t>
      </w:r>
      <w:r>
        <w:rPr>
          <w:rFonts w:hint="eastAsia" w:ascii="仿宋_GB2312" w:hAnsi="ˎ̥" w:eastAsia="仿宋_GB2312" w:cs="Times New Roman"/>
          <w:sz w:val="32"/>
          <w:szCs w:val="32"/>
          <w:highlight w:val="none"/>
        </w:rPr>
        <w:t>%。</w:t>
      </w:r>
    </w:p>
    <w:p>
      <w:pPr>
        <w:ind w:firstLine="643" w:firstLineChars="200"/>
        <w:rPr>
          <w:rFonts w:hint="eastAsia" w:ascii="仿宋_GB2312" w:hAnsi="ˎ̥" w:eastAsia="仿宋_GB2312" w:cs="Times New Roman"/>
          <w:b/>
          <w:sz w:val="32"/>
          <w:szCs w:val="32"/>
          <w:highlight w:val="none"/>
        </w:rPr>
      </w:pPr>
      <w:r>
        <w:rPr>
          <w:rFonts w:hint="eastAsia" w:ascii="仿宋_GB2312" w:hAnsi="ˎ̥" w:eastAsia="仿宋_GB2312" w:cs="Times New Roman"/>
          <w:b/>
          <w:sz w:val="32"/>
          <w:szCs w:val="32"/>
          <w:highlight w:val="none"/>
          <w:lang w:val="en-US" w:eastAsia="zh-CN"/>
        </w:rPr>
        <w:t>5.卫生健康支出</w:t>
      </w:r>
      <w:r>
        <w:rPr>
          <w:rFonts w:hint="eastAsia" w:ascii="仿宋_GB2312" w:hAnsi="ˎ̥" w:eastAsia="仿宋_GB2312" w:cs="Times New Roman"/>
          <w:b/>
          <w:sz w:val="32"/>
          <w:szCs w:val="32"/>
          <w:highlight w:val="none"/>
        </w:rPr>
        <w:t>（类）</w:t>
      </w:r>
      <w:r>
        <w:rPr>
          <w:rFonts w:hint="eastAsia" w:ascii="仿宋_GB2312" w:hAnsi="ˎ̥" w:eastAsia="仿宋_GB2312" w:cs="Times New Roman"/>
          <w:b/>
          <w:sz w:val="32"/>
          <w:szCs w:val="32"/>
          <w:highlight w:val="none"/>
          <w:lang w:val="en-US" w:eastAsia="zh-CN"/>
        </w:rPr>
        <w:t>行政事业单位医疗</w:t>
      </w:r>
      <w:r>
        <w:rPr>
          <w:rFonts w:hint="eastAsia" w:ascii="仿宋_GB2312" w:hAnsi="ˎ̥" w:eastAsia="仿宋_GB2312" w:cs="Times New Roman"/>
          <w:b/>
          <w:sz w:val="32"/>
          <w:szCs w:val="32"/>
          <w:highlight w:val="none"/>
        </w:rPr>
        <w:t>（款）</w:t>
      </w:r>
      <w:r>
        <w:rPr>
          <w:rFonts w:hint="eastAsia" w:ascii="仿宋_GB2312" w:hAnsi="ˎ̥" w:eastAsia="仿宋_GB2312" w:cs="Times New Roman"/>
          <w:b/>
          <w:sz w:val="32"/>
          <w:szCs w:val="32"/>
          <w:highlight w:val="none"/>
          <w:lang w:val="en-US" w:eastAsia="zh-CN"/>
        </w:rPr>
        <w:t>事业单位医疗</w:t>
      </w:r>
      <w:r>
        <w:rPr>
          <w:rFonts w:hint="eastAsia" w:ascii="仿宋_GB2312" w:hAnsi="ˎ̥" w:eastAsia="仿宋_GB2312" w:cs="Times New Roman"/>
          <w:b/>
          <w:sz w:val="32"/>
          <w:szCs w:val="32"/>
          <w:highlight w:val="none"/>
        </w:rPr>
        <w:t>（项）</w:t>
      </w:r>
    </w:p>
    <w:p>
      <w:pPr>
        <w:rPr>
          <w:rFonts w:hint="eastAsia" w:ascii="仿宋_GB2312" w:hAnsi="ˎ̥" w:eastAsia="仿宋_GB2312" w:cs="Times New Roman"/>
          <w:sz w:val="32"/>
          <w:szCs w:val="32"/>
          <w:highlight w:val="none"/>
        </w:rPr>
      </w:pPr>
      <w:r>
        <w:rPr>
          <w:rFonts w:hint="eastAsia" w:ascii="仿宋_GB2312" w:hAnsi="ˎ̥" w:eastAsia="仿宋_GB2312" w:cs="Times New Roman"/>
          <w:sz w:val="32"/>
          <w:szCs w:val="32"/>
          <w:highlight w:val="none"/>
        </w:rPr>
        <w:t>年初预算为</w:t>
      </w:r>
      <w:r>
        <w:rPr>
          <w:rFonts w:hint="eastAsia" w:ascii="仿宋_GB2312" w:hAnsi="ˎ̥" w:eastAsia="仿宋_GB2312" w:cs="Times New Roman"/>
          <w:sz w:val="32"/>
          <w:szCs w:val="32"/>
          <w:highlight w:val="none"/>
          <w:lang w:val="en-US" w:eastAsia="zh-CN"/>
        </w:rPr>
        <w:t>2.21</w:t>
      </w:r>
      <w:r>
        <w:rPr>
          <w:rFonts w:hint="eastAsia" w:ascii="仿宋_GB2312" w:hAnsi="ˎ̥" w:eastAsia="仿宋_GB2312" w:cs="Times New Roman"/>
          <w:sz w:val="32"/>
          <w:szCs w:val="32"/>
          <w:highlight w:val="none"/>
        </w:rPr>
        <w:t>万元，支出决算为</w:t>
      </w:r>
      <w:r>
        <w:rPr>
          <w:rFonts w:hint="eastAsia" w:ascii="仿宋_GB2312" w:hAnsi="ˎ̥" w:eastAsia="仿宋_GB2312" w:cs="Times New Roman"/>
          <w:sz w:val="32"/>
          <w:szCs w:val="32"/>
          <w:highlight w:val="none"/>
          <w:lang w:val="en-US" w:eastAsia="zh-CN"/>
        </w:rPr>
        <w:t>2.21</w:t>
      </w:r>
      <w:r>
        <w:rPr>
          <w:rFonts w:hint="eastAsia" w:ascii="仿宋_GB2312" w:hAnsi="ˎ̥" w:eastAsia="仿宋_GB2312" w:cs="Times New Roman"/>
          <w:sz w:val="32"/>
          <w:szCs w:val="32"/>
          <w:highlight w:val="none"/>
        </w:rPr>
        <w:t>万元，完成年初预算的</w:t>
      </w:r>
      <w:r>
        <w:rPr>
          <w:rFonts w:hint="eastAsia" w:ascii="仿宋_GB2312" w:hAnsi="ˎ̥" w:eastAsia="仿宋_GB2312" w:cs="Times New Roman"/>
          <w:sz w:val="32"/>
          <w:szCs w:val="32"/>
          <w:highlight w:val="none"/>
          <w:lang w:val="en-US" w:eastAsia="zh-CN"/>
        </w:rPr>
        <w:t>100</w:t>
      </w:r>
      <w:r>
        <w:rPr>
          <w:rFonts w:hint="eastAsia" w:ascii="仿宋_GB2312" w:hAnsi="ˎ̥" w:eastAsia="仿宋_GB2312" w:cs="Times New Roman"/>
          <w:sz w:val="32"/>
          <w:szCs w:val="32"/>
          <w:highlight w:val="none"/>
        </w:rPr>
        <w:t>%。</w:t>
      </w:r>
    </w:p>
    <w:p>
      <w:pPr>
        <w:rPr>
          <w:rFonts w:hint="default" w:ascii="仿宋_GB2312" w:hAnsi="ˎ̥" w:eastAsia="仿宋_GB2312" w:cs="Times New Roman"/>
          <w:b/>
          <w:sz w:val="32"/>
          <w:szCs w:val="32"/>
          <w:highlight w:val="none"/>
          <w:lang w:val="en-US" w:eastAsia="zh-CN"/>
        </w:rPr>
      </w:pPr>
      <w:r>
        <w:rPr>
          <w:rFonts w:hint="eastAsia" w:ascii="仿宋_GB2312" w:hAnsi="ˎ̥" w:eastAsia="仿宋_GB2312" w:cs="Times New Roman"/>
          <w:b/>
          <w:sz w:val="32"/>
          <w:szCs w:val="32"/>
          <w:highlight w:val="none"/>
          <w:lang w:val="en-US" w:eastAsia="zh-CN"/>
        </w:rPr>
        <w:t>6.卫生健康支出</w:t>
      </w:r>
      <w:r>
        <w:rPr>
          <w:rFonts w:hint="eastAsia" w:ascii="仿宋_GB2312" w:hAnsi="ˎ̥" w:eastAsia="仿宋_GB2312" w:cs="Times New Roman"/>
          <w:b/>
          <w:sz w:val="32"/>
          <w:szCs w:val="32"/>
          <w:highlight w:val="none"/>
        </w:rPr>
        <w:t>（类）</w:t>
      </w:r>
      <w:r>
        <w:rPr>
          <w:rFonts w:hint="eastAsia" w:ascii="仿宋_GB2312" w:hAnsi="ˎ̥" w:eastAsia="仿宋_GB2312" w:cs="Times New Roman"/>
          <w:b/>
          <w:sz w:val="32"/>
          <w:szCs w:val="32"/>
          <w:highlight w:val="none"/>
          <w:lang w:val="en-US" w:eastAsia="zh-CN"/>
        </w:rPr>
        <w:t>行政事业单位医疗</w:t>
      </w:r>
      <w:r>
        <w:rPr>
          <w:rFonts w:hint="eastAsia" w:ascii="仿宋_GB2312" w:hAnsi="ˎ̥" w:eastAsia="仿宋_GB2312" w:cs="Times New Roman"/>
          <w:b/>
          <w:sz w:val="32"/>
          <w:szCs w:val="32"/>
          <w:highlight w:val="none"/>
        </w:rPr>
        <w:t>（款）</w:t>
      </w:r>
      <w:r>
        <w:rPr>
          <w:rFonts w:hint="eastAsia" w:ascii="仿宋_GB2312" w:hAnsi="ˎ̥" w:eastAsia="仿宋_GB2312" w:cs="Times New Roman"/>
          <w:b/>
          <w:sz w:val="32"/>
          <w:szCs w:val="32"/>
          <w:highlight w:val="none"/>
          <w:lang w:val="en-US" w:eastAsia="zh-CN"/>
        </w:rPr>
        <w:t>公务员医疗补助</w:t>
      </w:r>
      <w:r>
        <w:rPr>
          <w:rFonts w:hint="eastAsia" w:ascii="仿宋_GB2312" w:hAnsi="ˎ̥" w:eastAsia="仿宋_GB2312" w:cs="Times New Roman"/>
          <w:b/>
          <w:sz w:val="32"/>
          <w:szCs w:val="32"/>
          <w:highlight w:val="none"/>
        </w:rPr>
        <w:t>（项）</w:t>
      </w:r>
    </w:p>
    <w:p>
      <w:pPr>
        <w:rPr>
          <w:rFonts w:hint="eastAsia" w:ascii="仿宋_GB2312" w:hAnsi="ˎ̥" w:eastAsia="仿宋_GB2312" w:cs="Times New Roman"/>
          <w:sz w:val="32"/>
          <w:szCs w:val="32"/>
          <w:highlight w:val="none"/>
        </w:rPr>
      </w:pPr>
      <w:r>
        <w:rPr>
          <w:rFonts w:hint="eastAsia" w:ascii="仿宋_GB2312" w:hAnsi="ˎ̥" w:eastAsia="仿宋_GB2312" w:cs="Times New Roman"/>
          <w:sz w:val="32"/>
          <w:szCs w:val="32"/>
          <w:highlight w:val="none"/>
        </w:rPr>
        <w:t>年初预算为</w:t>
      </w:r>
      <w:r>
        <w:rPr>
          <w:rFonts w:hint="eastAsia" w:ascii="仿宋_GB2312" w:hAnsi="ˎ̥" w:eastAsia="仿宋_GB2312" w:cs="Times New Roman"/>
          <w:sz w:val="32"/>
          <w:szCs w:val="32"/>
          <w:highlight w:val="none"/>
          <w:lang w:val="en-US" w:eastAsia="zh-CN"/>
        </w:rPr>
        <w:t>4.32</w:t>
      </w:r>
      <w:r>
        <w:rPr>
          <w:rFonts w:hint="eastAsia" w:ascii="仿宋_GB2312" w:hAnsi="ˎ̥" w:eastAsia="仿宋_GB2312" w:cs="Times New Roman"/>
          <w:sz w:val="32"/>
          <w:szCs w:val="32"/>
          <w:highlight w:val="none"/>
        </w:rPr>
        <w:t>万元，支出决算为</w:t>
      </w:r>
      <w:r>
        <w:rPr>
          <w:rFonts w:hint="eastAsia" w:ascii="仿宋_GB2312" w:hAnsi="ˎ̥" w:eastAsia="仿宋_GB2312" w:cs="Times New Roman"/>
          <w:sz w:val="32"/>
          <w:szCs w:val="32"/>
          <w:highlight w:val="none"/>
          <w:lang w:val="en-US" w:eastAsia="zh-CN"/>
        </w:rPr>
        <w:t>4.32</w:t>
      </w:r>
      <w:r>
        <w:rPr>
          <w:rFonts w:hint="eastAsia" w:ascii="仿宋_GB2312" w:hAnsi="ˎ̥" w:eastAsia="仿宋_GB2312" w:cs="Times New Roman"/>
          <w:sz w:val="32"/>
          <w:szCs w:val="32"/>
          <w:highlight w:val="none"/>
        </w:rPr>
        <w:t>万元，完成年初预算的</w:t>
      </w:r>
      <w:r>
        <w:rPr>
          <w:rFonts w:hint="eastAsia" w:ascii="仿宋_GB2312" w:hAnsi="ˎ̥" w:eastAsia="仿宋_GB2312" w:cs="Times New Roman"/>
          <w:sz w:val="32"/>
          <w:szCs w:val="32"/>
          <w:highlight w:val="none"/>
          <w:lang w:val="en-US" w:eastAsia="zh-CN"/>
        </w:rPr>
        <w:t>100</w:t>
      </w:r>
      <w:r>
        <w:rPr>
          <w:rFonts w:hint="eastAsia" w:ascii="仿宋_GB2312" w:hAnsi="ˎ̥" w:eastAsia="仿宋_GB2312" w:cs="Times New Roman"/>
          <w:sz w:val="32"/>
          <w:szCs w:val="32"/>
          <w:highlight w:val="none"/>
        </w:rPr>
        <w:t>%。</w:t>
      </w:r>
    </w:p>
    <w:p>
      <w:pPr>
        <w:rPr>
          <w:rFonts w:hint="default" w:ascii="仿宋_GB2312" w:hAnsi="ˎ̥" w:eastAsia="仿宋_GB2312" w:cs="Times New Roman"/>
          <w:b/>
          <w:sz w:val="32"/>
          <w:szCs w:val="32"/>
          <w:highlight w:val="none"/>
          <w:lang w:val="en-US" w:eastAsia="zh-CN"/>
        </w:rPr>
      </w:pPr>
      <w:r>
        <w:rPr>
          <w:rFonts w:hint="eastAsia" w:ascii="仿宋_GB2312" w:hAnsi="ˎ̥" w:eastAsia="仿宋_GB2312" w:cs="Times New Roman"/>
          <w:b/>
          <w:sz w:val="32"/>
          <w:szCs w:val="32"/>
          <w:highlight w:val="none"/>
          <w:lang w:val="en-US" w:eastAsia="zh-CN"/>
        </w:rPr>
        <w:t>7.住房保障支出</w:t>
      </w:r>
      <w:r>
        <w:rPr>
          <w:rFonts w:hint="eastAsia" w:ascii="仿宋_GB2312" w:hAnsi="ˎ̥" w:eastAsia="仿宋_GB2312" w:cs="Times New Roman"/>
          <w:b/>
          <w:sz w:val="32"/>
          <w:szCs w:val="32"/>
          <w:highlight w:val="none"/>
        </w:rPr>
        <w:t>（类）</w:t>
      </w:r>
      <w:r>
        <w:rPr>
          <w:rFonts w:hint="eastAsia" w:ascii="仿宋_GB2312" w:hAnsi="ˎ̥" w:eastAsia="仿宋_GB2312" w:cs="Times New Roman"/>
          <w:b/>
          <w:sz w:val="32"/>
          <w:szCs w:val="32"/>
          <w:highlight w:val="none"/>
          <w:lang w:val="en-US" w:eastAsia="zh-CN"/>
        </w:rPr>
        <w:t>住房改革支出</w:t>
      </w:r>
      <w:r>
        <w:rPr>
          <w:rFonts w:hint="eastAsia" w:ascii="仿宋_GB2312" w:hAnsi="ˎ̥" w:eastAsia="仿宋_GB2312" w:cs="Times New Roman"/>
          <w:b/>
          <w:sz w:val="32"/>
          <w:szCs w:val="32"/>
          <w:highlight w:val="none"/>
        </w:rPr>
        <w:t>（款）</w:t>
      </w:r>
      <w:r>
        <w:rPr>
          <w:rFonts w:hint="eastAsia" w:ascii="仿宋_GB2312" w:hAnsi="ˎ̥" w:eastAsia="仿宋_GB2312" w:cs="Times New Roman"/>
          <w:b/>
          <w:sz w:val="32"/>
          <w:szCs w:val="32"/>
          <w:highlight w:val="none"/>
          <w:lang w:val="en-US" w:eastAsia="zh-CN"/>
        </w:rPr>
        <w:t>住房公积金</w:t>
      </w:r>
      <w:r>
        <w:rPr>
          <w:rFonts w:hint="eastAsia" w:ascii="仿宋_GB2312" w:hAnsi="ˎ̥" w:eastAsia="仿宋_GB2312" w:cs="Times New Roman"/>
          <w:b/>
          <w:sz w:val="32"/>
          <w:szCs w:val="32"/>
          <w:highlight w:val="none"/>
        </w:rPr>
        <w:t>（项）</w:t>
      </w:r>
    </w:p>
    <w:p>
      <w:pPr>
        <w:rPr>
          <w:rFonts w:hint="default" w:ascii="仿宋_GB2312" w:hAnsi="ˎ̥" w:eastAsia="仿宋_GB2312" w:cs="Times New Roman"/>
          <w:sz w:val="32"/>
          <w:szCs w:val="32"/>
          <w:highlight w:val="yellow"/>
          <w:lang w:val="en-US" w:eastAsia="zh-CN"/>
        </w:rPr>
      </w:pPr>
      <w:r>
        <w:rPr>
          <w:rFonts w:hint="eastAsia" w:ascii="仿宋_GB2312" w:hAnsi="ˎ̥" w:eastAsia="仿宋_GB2312" w:cs="Times New Roman"/>
          <w:sz w:val="32"/>
          <w:szCs w:val="32"/>
          <w:highlight w:val="none"/>
        </w:rPr>
        <w:t>年初预算为</w:t>
      </w:r>
      <w:r>
        <w:rPr>
          <w:rFonts w:hint="eastAsia" w:ascii="仿宋_GB2312" w:hAnsi="ˎ̥" w:eastAsia="仿宋_GB2312" w:cs="Times New Roman"/>
          <w:sz w:val="32"/>
          <w:szCs w:val="32"/>
          <w:highlight w:val="none"/>
          <w:lang w:val="en-US" w:eastAsia="zh-CN"/>
        </w:rPr>
        <w:t>4.34</w:t>
      </w:r>
      <w:r>
        <w:rPr>
          <w:rFonts w:hint="eastAsia" w:ascii="仿宋_GB2312" w:hAnsi="ˎ̥" w:eastAsia="仿宋_GB2312" w:cs="Times New Roman"/>
          <w:sz w:val="32"/>
          <w:szCs w:val="32"/>
          <w:highlight w:val="none"/>
        </w:rPr>
        <w:t>万元，支出决算为</w:t>
      </w:r>
      <w:r>
        <w:rPr>
          <w:rFonts w:hint="eastAsia" w:ascii="仿宋_GB2312" w:hAnsi="ˎ̥" w:eastAsia="仿宋_GB2312" w:cs="Times New Roman"/>
          <w:sz w:val="32"/>
          <w:szCs w:val="32"/>
          <w:highlight w:val="none"/>
          <w:lang w:val="en-US" w:eastAsia="zh-CN"/>
        </w:rPr>
        <w:t>4.34</w:t>
      </w:r>
      <w:r>
        <w:rPr>
          <w:rFonts w:hint="eastAsia" w:ascii="仿宋_GB2312" w:hAnsi="ˎ̥" w:eastAsia="仿宋_GB2312" w:cs="Times New Roman"/>
          <w:sz w:val="32"/>
          <w:szCs w:val="32"/>
          <w:highlight w:val="none"/>
        </w:rPr>
        <w:t>万元，完成年初预算的</w:t>
      </w:r>
      <w:r>
        <w:rPr>
          <w:rFonts w:hint="eastAsia" w:ascii="仿宋_GB2312" w:hAnsi="ˎ̥" w:eastAsia="仿宋_GB2312" w:cs="Times New Roman"/>
          <w:sz w:val="32"/>
          <w:szCs w:val="32"/>
          <w:highlight w:val="none"/>
          <w:lang w:val="en-US" w:eastAsia="zh-CN"/>
        </w:rPr>
        <w:t>100</w:t>
      </w:r>
      <w:r>
        <w:rPr>
          <w:rFonts w:hint="eastAsia" w:ascii="仿宋_GB2312" w:hAnsi="ˎ̥" w:eastAsia="仿宋_GB2312" w:cs="Times New Roman"/>
          <w:sz w:val="32"/>
          <w:szCs w:val="32"/>
          <w:highlight w:val="none"/>
        </w:rPr>
        <w:t>%。</w:t>
      </w:r>
    </w:p>
    <w:p>
      <w:pPr>
        <w:ind w:firstLine="627" w:firstLineChars="196"/>
        <w:rPr>
          <w:rFonts w:ascii="黑体" w:hAnsi="黑体" w:eastAsia="黑体" w:cs="黑体"/>
          <w:sz w:val="32"/>
          <w:szCs w:val="32"/>
        </w:rPr>
      </w:pPr>
      <w:r>
        <w:rPr>
          <w:rFonts w:hint="eastAsia" w:ascii="黑体" w:hAnsi="黑体" w:eastAsia="黑体" w:cs="黑体"/>
          <w:bCs/>
          <w:sz w:val="32"/>
          <w:szCs w:val="32"/>
        </w:rPr>
        <w:t>六、一般公共预算财政拨款基本支出决算情况说明。</w:t>
      </w:r>
    </w:p>
    <w:p>
      <w:pPr>
        <w:tabs>
          <w:tab w:val="center" w:pos="4473"/>
        </w:tabs>
        <w:ind w:firstLine="640" w:firstLineChars="200"/>
        <w:rPr>
          <w:rFonts w:ascii="仿宋_GB2312" w:hAnsi="ˎ̥" w:eastAsia="仿宋_GB2312" w:cs="Times New Roman"/>
          <w:sz w:val="32"/>
          <w:szCs w:val="32"/>
        </w:rPr>
      </w:pPr>
      <w:r>
        <w:rPr>
          <w:rFonts w:hint="eastAsia" w:ascii="仿宋_GB2312" w:hAnsi="ˎ̥" w:eastAsia="仿宋_GB2312" w:cs="Times New Roman"/>
          <w:sz w:val="32"/>
          <w:szCs w:val="32"/>
          <w:lang w:eastAsia="zh-CN"/>
        </w:rPr>
        <w:t>202</w:t>
      </w:r>
      <w:r>
        <w:rPr>
          <w:rFonts w:hint="eastAsia" w:ascii="仿宋_GB2312" w:hAnsi="ˎ̥" w:eastAsia="仿宋_GB2312" w:cs="Times New Roman"/>
          <w:sz w:val="32"/>
          <w:szCs w:val="32"/>
          <w:lang w:val="en-US" w:eastAsia="zh-CN"/>
        </w:rPr>
        <w:t>2</w:t>
      </w:r>
      <w:r>
        <w:rPr>
          <w:rFonts w:hint="eastAsia" w:ascii="仿宋_GB2312" w:hAnsi="ˎ̥" w:eastAsia="仿宋_GB2312" w:cs="Times New Roman"/>
          <w:sz w:val="32"/>
          <w:szCs w:val="32"/>
        </w:rPr>
        <w:t>年度财政拨款基本支出</w:t>
      </w:r>
      <w:r>
        <w:rPr>
          <w:rFonts w:hint="eastAsia" w:ascii="仿宋_GB2312" w:hAnsi="ˎ̥" w:eastAsia="仿宋_GB2312" w:cs="Times New Roman"/>
          <w:sz w:val="32"/>
          <w:szCs w:val="32"/>
          <w:lang w:val="en-US" w:eastAsia="zh-CN"/>
        </w:rPr>
        <w:t>68.18</w:t>
      </w:r>
      <w:r>
        <w:rPr>
          <w:rFonts w:hint="eastAsia" w:ascii="仿宋_GB2312" w:hAnsi="ˎ̥" w:eastAsia="仿宋_GB2312" w:cs="Times New Roman"/>
          <w:sz w:val="32"/>
          <w:szCs w:val="32"/>
        </w:rPr>
        <w:t>万元，</w:t>
      </w:r>
      <w:r>
        <w:rPr>
          <w:rFonts w:ascii="仿宋_GB2312" w:hAnsi="ˎ̥" w:eastAsia="仿宋_GB2312" w:cs="仿宋_GB2312"/>
          <w:sz w:val="32"/>
          <w:szCs w:val="32"/>
        </w:rPr>
        <w:t>其中：</w:t>
      </w:r>
      <w:r>
        <w:rPr>
          <w:rFonts w:hint="eastAsia" w:ascii="仿宋_GB2312" w:hAnsi="ˎ̥" w:eastAsia="仿宋_GB2312" w:cs="仿宋_GB2312"/>
          <w:sz w:val="32"/>
          <w:szCs w:val="32"/>
          <w:lang w:val="en-US" w:eastAsia="zh-CN"/>
        </w:rPr>
        <w:t>工资福利支出66.31</w:t>
      </w:r>
      <w:r>
        <w:rPr>
          <w:rFonts w:hint="default" w:ascii="仿宋_GB2312" w:hAnsi="ˎ̥" w:eastAsia="仿宋_GB2312" w:cs="仿宋_GB2312"/>
          <w:sz w:val="32"/>
          <w:szCs w:val="32"/>
        </w:rPr>
        <w:t>万元，</w:t>
      </w:r>
      <w:r>
        <w:rPr>
          <w:rFonts w:hint="eastAsia" w:ascii="仿宋_GB2312" w:hAnsi="ˎ̥" w:eastAsia="仿宋_GB2312" w:cs="仿宋_GB2312"/>
          <w:sz w:val="32"/>
          <w:szCs w:val="32"/>
          <w:lang w:val="en-US" w:eastAsia="zh-CN"/>
        </w:rPr>
        <w:t>主要包括：基本工资、津贴补贴、绩效工资、机关事业单位基本养老保险缴费、职业年金缴费、基本医疗保险缴费、公务员医疗补助缴费、其他社会保障缴费、住房公积金和医疗费</w:t>
      </w:r>
      <w:r>
        <w:rPr>
          <w:rFonts w:hint="eastAsia" w:ascii="仿宋_GB2312" w:hAnsi="ˎ̥" w:eastAsia="仿宋_GB2312" w:cs="仿宋_GB2312"/>
          <w:sz w:val="32"/>
          <w:szCs w:val="32"/>
          <w:lang w:eastAsia="zh-CN"/>
        </w:rPr>
        <w:t>；</w:t>
      </w:r>
      <w:r>
        <w:rPr>
          <w:rFonts w:hint="eastAsia" w:ascii="仿宋_GB2312" w:hAnsi="ˎ̥" w:eastAsia="仿宋_GB2312" w:cs="Times New Roman"/>
          <w:sz w:val="32"/>
          <w:szCs w:val="32"/>
          <w:lang w:val="en-US" w:eastAsia="zh-CN"/>
        </w:rPr>
        <w:t>商品和服务支出1.8</w:t>
      </w:r>
      <w:r>
        <w:rPr>
          <w:rFonts w:hint="eastAsia" w:ascii="仿宋_GB2312" w:hAnsi="ˎ̥" w:eastAsia="仿宋_GB2312" w:cs="Times New Roman"/>
          <w:sz w:val="32"/>
          <w:szCs w:val="32"/>
        </w:rPr>
        <w:t>万元，主要包括：</w:t>
      </w:r>
      <w:r>
        <w:rPr>
          <w:rFonts w:hint="eastAsia" w:ascii="仿宋_GB2312" w:hAnsi="ˎ̥" w:eastAsia="仿宋_GB2312" w:cs="Times New Roman"/>
          <w:sz w:val="32"/>
          <w:szCs w:val="32"/>
          <w:lang w:val="en-US" w:eastAsia="zh-CN"/>
        </w:rPr>
        <w:t>邮电费、工会经费和其他商品和服务支出；对个人和家庭的补助0.006万元，主要包括：奖励金</w:t>
      </w:r>
      <w:r>
        <w:rPr>
          <w:rFonts w:hint="eastAsia" w:ascii="仿宋_GB2312" w:hAnsi="ˎ̥" w:eastAsia="仿宋_GB2312" w:cs="Times New Roman"/>
          <w:sz w:val="32"/>
          <w:szCs w:val="32"/>
        </w:rPr>
        <w:t>。</w:t>
      </w:r>
    </w:p>
    <w:p>
      <w:pPr>
        <w:tabs>
          <w:tab w:val="center" w:pos="4473"/>
        </w:tabs>
        <w:ind w:firstLine="627" w:firstLineChars="196"/>
        <w:rPr>
          <w:rFonts w:ascii="黑体" w:hAnsi="黑体" w:eastAsia="黑体" w:cs="黑体"/>
          <w:bCs/>
          <w:sz w:val="32"/>
          <w:szCs w:val="32"/>
        </w:rPr>
      </w:pPr>
      <w:r>
        <w:rPr>
          <w:rFonts w:hint="eastAsia" w:ascii="黑体" w:hAnsi="黑体" w:eastAsia="黑体" w:cs="黑体"/>
          <w:bCs/>
          <w:sz w:val="32"/>
          <w:szCs w:val="32"/>
        </w:rPr>
        <w:t>七、政府性基金预算财政拨款支出决算情况说明</w:t>
      </w:r>
    </w:p>
    <w:p>
      <w:pPr>
        <w:ind w:firstLine="640" w:firstLineChars="200"/>
        <w:rPr>
          <w:rFonts w:ascii="楷体" w:hAnsi="楷体" w:eastAsia="楷体" w:cs="楷体"/>
          <w:sz w:val="32"/>
          <w:szCs w:val="32"/>
        </w:rPr>
      </w:pPr>
      <w:r>
        <w:rPr>
          <w:rFonts w:hint="eastAsia" w:ascii="楷体" w:hAnsi="楷体" w:eastAsia="楷体" w:cs="楷体"/>
          <w:sz w:val="32"/>
          <w:szCs w:val="32"/>
        </w:rPr>
        <w:t>（一）政府性基金预算财政拨款支出决算总体情况。</w:t>
      </w:r>
    </w:p>
    <w:p>
      <w:pPr>
        <w:ind w:firstLine="640" w:firstLineChars="200"/>
        <w:rPr>
          <w:rFonts w:ascii="仿宋_GB2312" w:hAnsi="ˎ̥" w:eastAsia="仿宋_GB2312" w:cs="Times New Roman"/>
          <w:sz w:val="32"/>
          <w:szCs w:val="32"/>
        </w:rPr>
      </w:pPr>
      <w:r>
        <w:rPr>
          <w:rFonts w:hint="eastAsia" w:ascii="仿宋_GB2312" w:hAnsi="ˎ̥" w:eastAsia="仿宋_GB2312" w:cs="Times New Roman"/>
          <w:sz w:val="32"/>
          <w:szCs w:val="32"/>
          <w:lang w:eastAsia="zh-CN"/>
        </w:rPr>
        <w:t>202</w:t>
      </w:r>
      <w:r>
        <w:rPr>
          <w:rFonts w:hint="eastAsia" w:ascii="仿宋_GB2312" w:hAnsi="ˎ̥" w:eastAsia="仿宋_GB2312" w:cs="Times New Roman"/>
          <w:sz w:val="32"/>
          <w:szCs w:val="32"/>
          <w:lang w:val="en-US" w:eastAsia="zh-CN"/>
        </w:rPr>
        <w:t>2</w:t>
      </w:r>
      <w:r>
        <w:rPr>
          <w:rFonts w:hint="eastAsia" w:ascii="仿宋_GB2312" w:hAnsi="ˎ̥" w:eastAsia="仿宋_GB2312" w:cs="Times New Roman"/>
          <w:sz w:val="32"/>
          <w:szCs w:val="32"/>
        </w:rPr>
        <w:t>年度政府性基金预算财政拨款支出0万元，占本年支出合计的0%。与</w:t>
      </w:r>
      <w:r>
        <w:rPr>
          <w:rFonts w:hint="eastAsia" w:ascii="仿宋_GB2312" w:hAnsi="ˎ̥" w:eastAsia="仿宋_GB2312" w:cs="Times New Roman"/>
          <w:sz w:val="32"/>
          <w:szCs w:val="32"/>
          <w:lang w:eastAsia="zh-CN"/>
        </w:rPr>
        <w:t>202</w:t>
      </w:r>
      <w:r>
        <w:rPr>
          <w:rFonts w:hint="eastAsia" w:ascii="仿宋_GB2312" w:hAnsi="ˎ̥" w:eastAsia="仿宋_GB2312" w:cs="Times New Roman"/>
          <w:sz w:val="32"/>
          <w:szCs w:val="32"/>
          <w:lang w:val="en-US" w:eastAsia="zh-CN"/>
        </w:rPr>
        <w:t>1</w:t>
      </w:r>
      <w:r>
        <w:rPr>
          <w:rFonts w:hint="eastAsia" w:ascii="仿宋_GB2312" w:hAnsi="ˎ̥" w:eastAsia="仿宋_GB2312" w:cs="Times New Roman"/>
          <w:sz w:val="32"/>
          <w:szCs w:val="32"/>
        </w:rPr>
        <w:t>年度相比，政府性基金预算财政拨款支出增加0万元，增长0%，主要原因是没有该项预算。</w:t>
      </w:r>
    </w:p>
    <w:p>
      <w:pPr>
        <w:ind w:firstLine="640" w:firstLineChars="200"/>
        <w:rPr>
          <w:rFonts w:ascii="楷体" w:hAnsi="楷体" w:eastAsia="楷体" w:cs="楷体"/>
          <w:sz w:val="32"/>
          <w:szCs w:val="32"/>
        </w:rPr>
      </w:pPr>
      <w:r>
        <w:rPr>
          <w:rFonts w:hint="eastAsia" w:ascii="楷体" w:hAnsi="楷体" w:eastAsia="楷体" w:cs="楷体"/>
          <w:sz w:val="32"/>
          <w:szCs w:val="32"/>
        </w:rPr>
        <w:t>（二）政府性基金预算财政拨款支出决算结构情况。</w:t>
      </w:r>
    </w:p>
    <w:p>
      <w:pPr>
        <w:ind w:firstLine="640" w:firstLineChars="200"/>
        <w:rPr>
          <w:rFonts w:ascii="仿宋_GB2312" w:hAnsi="ˎ̥" w:eastAsia="仿宋_GB2312" w:cs="Times New Roman"/>
          <w:sz w:val="32"/>
          <w:szCs w:val="32"/>
        </w:rPr>
      </w:pPr>
      <w:r>
        <w:rPr>
          <w:rFonts w:hint="eastAsia" w:ascii="仿宋_GB2312" w:hAnsi="ˎ̥" w:eastAsia="仿宋_GB2312" w:cs="Times New Roman"/>
          <w:sz w:val="32"/>
          <w:szCs w:val="32"/>
          <w:lang w:eastAsia="zh-CN"/>
        </w:rPr>
        <w:t>202</w:t>
      </w:r>
      <w:r>
        <w:rPr>
          <w:rFonts w:hint="eastAsia" w:ascii="仿宋_GB2312" w:hAnsi="ˎ̥" w:eastAsia="仿宋_GB2312" w:cs="Times New Roman"/>
          <w:sz w:val="32"/>
          <w:szCs w:val="32"/>
          <w:lang w:val="en-US" w:eastAsia="zh-CN"/>
        </w:rPr>
        <w:t>2</w:t>
      </w:r>
      <w:r>
        <w:rPr>
          <w:rFonts w:hint="eastAsia" w:ascii="仿宋_GB2312" w:hAnsi="ˎ̥" w:eastAsia="仿宋_GB2312" w:cs="Times New Roman"/>
          <w:sz w:val="32"/>
          <w:szCs w:val="32"/>
        </w:rPr>
        <w:t>年度政府性基金预算财政拨款支出0万元。</w:t>
      </w:r>
    </w:p>
    <w:p>
      <w:pPr>
        <w:ind w:firstLine="640" w:firstLineChars="200"/>
        <w:rPr>
          <w:rFonts w:ascii="楷体" w:hAnsi="楷体" w:eastAsia="楷体" w:cs="楷体"/>
          <w:sz w:val="32"/>
          <w:szCs w:val="32"/>
        </w:rPr>
      </w:pPr>
      <w:r>
        <w:rPr>
          <w:rFonts w:hint="eastAsia" w:ascii="楷体" w:hAnsi="楷体" w:eastAsia="楷体" w:cs="楷体"/>
          <w:sz w:val="32"/>
          <w:szCs w:val="32"/>
        </w:rPr>
        <w:t>（三）政府性基金预算财政拨款支出决算具体情况。</w:t>
      </w:r>
    </w:p>
    <w:p>
      <w:pPr>
        <w:ind w:firstLine="640" w:firstLineChars="200"/>
        <w:rPr>
          <w:rFonts w:ascii="仿宋_GB2312" w:hAnsi="ˎ̥" w:eastAsia="仿宋_GB2312" w:cs="Times New Roman"/>
          <w:sz w:val="32"/>
          <w:szCs w:val="32"/>
        </w:rPr>
      </w:pPr>
      <w:r>
        <w:rPr>
          <w:rFonts w:hint="eastAsia" w:ascii="仿宋_GB2312" w:hAnsi="ˎ̥" w:eastAsia="仿宋_GB2312" w:cs="Times New Roman"/>
          <w:sz w:val="32"/>
          <w:szCs w:val="32"/>
          <w:lang w:eastAsia="zh-CN"/>
        </w:rPr>
        <w:t>202</w:t>
      </w:r>
      <w:r>
        <w:rPr>
          <w:rFonts w:hint="eastAsia" w:ascii="仿宋_GB2312" w:hAnsi="ˎ̥" w:eastAsia="仿宋_GB2312" w:cs="Times New Roman"/>
          <w:sz w:val="32"/>
          <w:szCs w:val="32"/>
          <w:lang w:val="en-US" w:eastAsia="zh-CN"/>
        </w:rPr>
        <w:t>2</w:t>
      </w:r>
      <w:r>
        <w:rPr>
          <w:rFonts w:hint="eastAsia" w:ascii="仿宋_GB2312" w:hAnsi="ˎ̥" w:eastAsia="仿宋_GB2312" w:cs="Times New Roman"/>
          <w:sz w:val="32"/>
          <w:szCs w:val="32"/>
        </w:rPr>
        <w:t>年度政府性基金预算财政拨款支出年初预算为0万元，支出决算为0万元，完成年初预算的0%。</w:t>
      </w:r>
    </w:p>
    <w:p>
      <w:pPr>
        <w:tabs>
          <w:tab w:val="center" w:pos="4473"/>
        </w:tabs>
        <w:ind w:firstLine="627" w:firstLineChars="196"/>
        <w:rPr>
          <w:rFonts w:ascii="黑体" w:hAnsi="黑体" w:eastAsia="黑体" w:cs="黑体"/>
          <w:bCs/>
          <w:sz w:val="32"/>
          <w:szCs w:val="32"/>
        </w:rPr>
      </w:pPr>
      <w:r>
        <w:rPr>
          <w:rFonts w:hint="eastAsia" w:ascii="黑体" w:hAnsi="黑体" w:eastAsia="黑体" w:cs="黑体"/>
          <w:bCs/>
          <w:sz w:val="32"/>
          <w:szCs w:val="32"/>
        </w:rPr>
        <w:t>八、国有资本经营预算财政拨款支出决算情况说明</w:t>
      </w:r>
    </w:p>
    <w:p>
      <w:pPr>
        <w:ind w:firstLine="640" w:firstLineChars="200"/>
        <w:rPr>
          <w:rFonts w:ascii="楷体" w:hAnsi="楷体" w:eastAsia="楷体" w:cs="楷体"/>
          <w:sz w:val="32"/>
          <w:szCs w:val="32"/>
        </w:rPr>
      </w:pPr>
      <w:r>
        <w:rPr>
          <w:rFonts w:hint="eastAsia" w:ascii="楷体" w:hAnsi="楷体" w:eastAsia="楷体" w:cs="楷体"/>
          <w:sz w:val="32"/>
          <w:szCs w:val="32"/>
        </w:rPr>
        <w:t>（一）国有资本经营预算财政拨款支出决算总体情况。</w:t>
      </w:r>
    </w:p>
    <w:p>
      <w:pPr>
        <w:ind w:firstLine="640" w:firstLineChars="200"/>
        <w:rPr>
          <w:rFonts w:ascii="仿宋_GB2312" w:hAnsi="ˎ̥" w:eastAsia="仿宋_GB2312" w:cs="Times New Roman"/>
          <w:sz w:val="32"/>
          <w:szCs w:val="32"/>
        </w:rPr>
      </w:pPr>
      <w:r>
        <w:rPr>
          <w:rFonts w:hint="eastAsia" w:ascii="仿宋_GB2312" w:hAnsi="ˎ̥" w:eastAsia="仿宋_GB2312" w:cs="Times New Roman"/>
          <w:sz w:val="32"/>
          <w:szCs w:val="32"/>
          <w:lang w:eastAsia="zh-CN"/>
        </w:rPr>
        <w:t>202</w:t>
      </w:r>
      <w:r>
        <w:rPr>
          <w:rFonts w:hint="eastAsia" w:ascii="仿宋_GB2312" w:hAnsi="ˎ̥" w:eastAsia="仿宋_GB2312" w:cs="Times New Roman"/>
          <w:sz w:val="32"/>
          <w:szCs w:val="32"/>
          <w:lang w:val="en-US" w:eastAsia="zh-CN"/>
        </w:rPr>
        <w:t>2</w:t>
      </w:r>
      <w:r>
        <w:rPr>
          <w:rFonts w:hint="eastAsia" w:ascii="仿宋_GB2312" w:hAnsi="ˎ̥" w:eastAsia="仿宋_GB2312" w:cs="Times New Roman"/>
          <w:sz w:val="32"/>
          <w:szCs w:val="32"/>
        </w:rPr>
        <w:t>年度国有资本经营预算财政拨款支出0万元，占本年支出合计的0%。与</w:t>
      </w:r>
      <w:r>
        <w:rPr>
          <w:rFonts w:hint="eastAsia" w:ascii="仿宋_GB2312" w:hAnsi="ˎ̥" w:eastAsia="仿宋_GB2312" w:cs="Times New Roman"/>
          <w:sz w:val="32"/>
          <w:szCs w:val="32"/>
          <w:lang w:eastAsia="zh-CN"/>
        </w:rPr>
        <w:t>202</w:t>
      </w:r>
      <w:r>
        <w:rPr>
          <w:rFonts w:hint="eastAsia" w:ascii="仿宋_GB2312" w:hAnsi="ˎ̥" w:eastAsia="仿宋_GB2312" w:cs="Times New Roman"/>
          <w:sz w:val="32"/>
          <w:szCs w:val="32"/>
          <w:lang w:val="en-US" w:eastAsia="zh-CN"/>
        </w:rPr>
        <w:t>1</w:t>
      </w:r>
      <w:r>
        <w:rPr>
          <w:rFonts w:hint="eastAsia" w:ascii="仿宋_GB2312" w:hAnsi="ˎ̥" w:eastAsia="仿宋_GB2312" w:cs="Times New Roman"/>
          <w:sz w:val="32"/>
          <w:szCs w:val="32"/>
        </w:rPr>
        <w:t>年度相比，国有资本经营预算财政拨款支出增加0万元，增长0%，主要原因是没有该项预算。</w:t>
      </w:r>
    </w:p>
    <w:p>
      <w:pPr>
        <w:ind w:firstLine="640" w:firstLineChars="200"/>
        <w:rPr>
          <w:rFonts w:ascii="楷体" w:hAnsi="楷体" w:eastAsia="楷体" w:cs="楷体"/>
          <w:sz w:val="32"/>
          <w:szCs w:val="32"/>
        </w:rPr>
      </w:pPr>
      <w:r>
        <w:rPr>
          <w:rFonts w:hint="eastAsia" w:ascii="楷体" w:hAnsi="楷体" w:eastAsia="楷体" w:cs="楷体"/>
          <w:sz w:val="32"/>
          <w:szCs w:val="32"/>
        </w:rPr>
        <w:t>（二）国有资本经营预算财政拨款支出决算结构情况。</w:t>
      </w:r>
    </w:p>
    <w:p>
      <w:pPr>
        <w:ind w:firstLine="640" w:firstLineChars="200"/>
        <w:rPr>
          <w:rFonts w:ascii="仿宋_GB2312" w:hAnsi="ˎ̥" w:eastAsia="仿宋_GB2312" w:cs="Times New Roman"/>
          <w:sz w:val="32"/>
          <w:szCs w:val="32"/>
        </w:rPr>
      </w:pPr>
      <w:r>
        <w:rPr>
          <w:rFonts w:hint="eastAsia" w:ascii="仿宋_GB2312" w:hAnsi="ˎ̥" w:eastAsia="仿宋_GB2312" w:cs="Times New Roman"/>
          <w:sz w:val="32"/>
          <w:szCs w:val="32"/>
          <w:lang w:eastAsia="zh-CN"/>
        </w:rPr>
        <w:t>202</w:t>
      </w:r>
      <w:r>
        <w:rPr>
          <w:rFonts w:hint="eastAsia" w:ascii="仿宋_GB2312" w:hAnsi="ˎ̥" w:eastAsia="仿宋_GB2312" w:cs="Times New Roman"/>
          <w:sz w:val="32"/>
          <w:szCs w:val="32"/>
          <w:lang w:val="en-US" w:eastAsia="zh-CN"/>
        </w:rPr>
        <w:t>2</w:t>
      </w:r>
      <w:r>
        <w:rPr>
          <w:rFonts w:hint="eastAsia" w:ascii="仿宋_GB2312" w:hAnsi="ˎ̥" w:eastAsia="仿宋_GB2312" w:cs="Times New Roman"/>
          <w:sz w:val="32"/>
          <w:szCs w:val="32"/>
        </w:rPr>
        <w:t>年度国有资本经营预算财政拨款支出0万元。</w:t>
      </w:r>
    </w:p>
    <w:p>
      <w:pPr>
        <w:ind w:firstLine="640" w:firstLineChars="200"/>
        <w:rPr>
          <w:rFonts w:ascii="楷体" w:hAnsi="楷体" w:eastAsia="楷体" w:cs="楷体"/>
          <w:sz w:val="32"/>
          <w:szCs w:val="32"/>
        </w:rPr>
      </w:pPr>
      <w:r>
        <w:rPr>
          <w:rFonts w:hint="eastAsia" w:ascii="楷体" w:hAnsi="楷体" w:eastAsia="楷体" w:cs="楷体"/>
          <w:sz w:val="32"/>
          <w:szCs w:val="32"/>
        </w:rPr>
        <w:t>（三）国有资本经营预算财政拨款支出决算具体情况。</w:t>
      </w:r>
    </w:p>
    <w:p>
      <w:pPr>
        <w:ind w:firstLine="640" w:firstLineChars="200"/>
        <w:rPr>
          <w:rFonts w:ascii="仿宋_GB2312" w:hAnsi="ˎ̥" w:eastAsia="仿宋_GB2312" w:cs="Times New Roman"/>
          <w:sz w:val="32"/>
          <w:szCs w:val="32"/>
        </w:rPr>
      </w:pPr>
      <w:r>
        <w:rPr>
          <w:rFonts w:hint="eastAsia" w:ascii="仿宋_GB2312" w:hAnsi="ˎ̥" w:eastAsia="仿宋_GB2312" w:cs="Times New Roman"/>
          <w:sz w:val="32"/>
          <w:szCs w:val="32"/>
          <w:lang w:eastAsia="zh-CN"/>
        </w:rPr>
        <w:t>202</w:t>
      </w:r>
      <w:r>
        <w:rPr>
          <w:rFonts w:hint="eastAsia" w:ascii="仿宋_GB2312" w:hAnsi="ˎ̥" w:eastAsia="仿宋_GB2312" w:cs="Times New Roman"/>
          <w:sz w:val="32"/>
          <w:szCs w:val="32"/>
          <w:lang w:val="en-US" w:eastAsia="zh-CN"/>
        </w:rPr>
        <w:t>2</w:t>
      </w:r>
      <w:r>
        <w:rPr>
          <w:rFonts w:hint="eastAsia" w:ascii="仿宋_GB2312" w:hAnsi="ˎ̥" w:eastAsia="仿宋_GB2312" w:cs="Times New Roman"/>
          <w:sz w:val="32"/>
          <w:szCs w:val="32"/>
        </w:rPr>
        <w:t>年度国有资本经营预算财政拨款支出年初预算为0万元，支出决算为0万元，完成年初预算的0%。</w:t>
      </w:r>
    </w:p>
    <w:p>
      <w:pPr>
        <w:ind w:firstLine="627" w:firstLineChars="196"/>
        <w:rPr>
          <w:rFonts w:ascii="仿宋_GB2312" w:hAnsi="ˎ̥" w:eastAsia="楷体_GB2312" w:cs="Times New Roman"/>
          <w:sz w:val="32"/>
          <w:szCs w:val="32"/>
        </w:rPr>
      </w:pPr>
      <w:r>
        <w:rPr>
          <w:rFonts w:hint="eastAsia" w:ascii="黑体" w:hAnsi="黑体" w:eastAsia="黑体" w:cs="黑体"/>
          <w:bCs/>
          <w:sz w:val="32"/>
          <w:szCs w:val="32"/>
        </w:rPr>
        <w:t>九、财政拨款“三公”经费支出决算情况说明</w:t>
      </w:r>
    </w:p>
    <w:p>
      <w:pPr>
        <w:ind w:firstLine="643" w:firstLineChars="200"/>
        <w:rPr>
          <w:rFonts w:ascii="楷体" w:hAnsi="楷体" w:eastAsia="楷体" w:cs="楷体"/>
          <w:sz w:val="32"/>
          <w:szCs w:val="32"/>
        </w:rPr>
      </w:pPr>
      <w:r>
        <w:rPr>
          <w:rFonts w:hint="eastAsia" w:ascii="楷体" w:hAnsi="楷体" w:eastAsia="楷体" w:cs="楷体"/>
          <w:b/>
          <w:sz w:val="32"/>
          <w:szCs w:val="32"/>
        </w:rPr>
        <w:t>（一）财政拨款“三公”经费支出决算总体情况说明。</w:t>
      </w:r>
    </w:p>
    <w:p>
      <w:pPr>
        <w:ind w:firstLine="640"/>
        <w:rPr>
          <w:rFonts w:hint="eastAsia" w:ascii="仿宋_GB2312" w:hAnsi="ˎ̥" w:eastAsia="仿宋_GB2312" w:cs="Times New Roman"/>
          <w:sz w:val="32"/>
          <w:szCs w:val="32"/>
          <w:lang w:eastAsia="zh-CN"/>
        </w:rPr>
      </w:pPr>
      <w:r>
        <w:rPr>
          <w:rFonts w:hint="eastAsia" w:ascii="仿宋_GB2312" w:hAnsi="ˎ̥" w:eastAsia="仿宋_GB2312" w:cs="Times New Roman"/>
          <w:sz w:val="32"/>
          <w:szCs w:val="32"/>
          <w:lang w:eastAsia="zh-CN"/>
        </w:rPr>
        <w:t>202</w:t>
      </w:r>
      <w:r>
        <w:rPr>
          <w:rFonts w:hint="eastAsia" w:ascii="仿宋_GB2312" w:hAnsi="ˎ̥" w:eastAsia="仿宋_GB2312" w:cs="Times New Roman"/>
          <w:sz w:val="32"/>
          <w:szCs w:val="32"/>
          <w:lang w:val="en-US" w:eastAsia="zh-CN"/>
        </w:rPr>
        <w:t>2</w:t>
      </w:r>
      <w:r>
        <w:rPr>
          <w:rFonts w:hint="eastAsia" w:ascii="仿宋_GB2312" w:hAnsi="ˎ̥" w:eastAsia="仿宋_GB2312" w:cs="Times New Roman"/>
          <w:sz w:val="32"/>
          <w:szCs w:val="32"/>
        </w:rPr>
        <w:t>年度财政拨款“三公”经费支出预算为0万元，支出决算为0万元，完成预算的0%</w:t>
      </w:r>
      <w:r>
        <w:rPr>
          <w:rFonts w:hint="eastAsia" w:ascii="仿宋_GB2312" w:hAnsi="ˎ̥" w:eastAsia="仿宋_GB2312" w:cs="Times New Roman"/>
          <w:sz w:val="32"/>
          <w:szCs w:val="32"/>
          <w:lang w:eastAsia="zh-CN"/>
        </w:rPr>
        <w:t>，支出决算与预算数持平。</w:t>
      </w:r>
    </w:p>
    <w:p>
      <w:pPr>
        <w:ind w:firstLine="640"/>
        <w:rPr>
          <w:rFonts w:ascii="楷体" w:hAnsi="楷体" w:eastAsia="楷体" w:cs="楷体"/>
          <w:b/>
          <w:bCs/>
          <w:sz w:val="32"/>
          <w:szCs w:val="32"/>
        </w:rPr>
      </w:pPr>
      <w:r>
        <w:rPr>
          <w:rFonts w:hint="eastAsia" w:ascii="楷体" w:hAnsi="楷体" w:eastAsia="楷体" w:cs="楷体"/>
          <w:b/>
          <w:bCs/>
          <w:sz w:val="32"/>
          <w:szCs w:val="32"/>
        </w:rPr>
        <w:t>（二）财政拨款“三公”经费支出决算具体情况说明。</w:t>
      </w:r>
    </w:p>
    <w:p>
      <w:pPr>
        <w:ind w:firstLine="640" w:firstLineChars="200"/>
        <w:rPr>
          <w:rFonts w:ascii="仿宋_GB2312" w:hAnsi="ˎ̥" w:eastAsia="仿宋_GB2312" w:cs="Times New Roman"/>
          <w:sz w:val="32"/>
          <w:szCs w:val="32"/>
        </w:rPr>
      </w:pPr>
      <w:r>
        <w:rPr>
          <w:rFonts w:hint="eastAsia" w:ascii="仿宋_GB2312" w:hAnsi="ˎ̥" w:eastAsia="仿宋_GB2312" w:cs="Times New Roman"/>
          <w:sz w:val="32"/>
          <w:szCs w:val="32"/>
          <w:lang w:eastAsia="zh-CN"/>
        </w:rPr>
        <w:t>202</w:t>
      </w:r>
      <w:r>
        <w:rPr>
          <w:rFonts w:hint="eastAsia" w:ascii="仿宋_GB2312" w:hAnsi="ˎ̥" w:eastAsia="仿宋_GB2312" w:cs="Times New Roman"/>
          <w:sz w:val="32"/>
          <w:szCs w:val="32"/>
          <w:lang w:val="en-US" w:eastAsia="zh-CN"/>
        </w:rPr>
        <w:t>2</w:t>
      </w:r>
      <w:r>
        <w:rPr>
          <w:rFonts w:hint="eastAsia" w:ascii="仿宋_GB2312" w:hAnsi="ˎ̥" w:eastAsia="仿宋_GB2312" w:cs="Times New Roman"/>
          <w:sz w:val="32"/>
          <w:szCs w:val="32"/>
        </w:rPr>
        <w:t>年度财政拨款“三公”经费支出决算中，因公出国（境）费支出决算0万元，占0%；公务用车购置及运行费支出决算0万元，占0%；公务接待费支出决算0万元，占0%。具体情况如下：</w:t>
      </w:r>
    </w:p>
    <w:p>
      <w:pPr>
        <w:ind w:firstLine="643" w:firstLineChars="200"/>
        <w:rPr>
          <w:rFonts w:hint="eastAsia" w:ascii="仿宋_GB2312" w:hAnsi="ˎ̥" w:eastAsia="仿宋_GB2312" w:cs="Times New Roman"/>
          <w:sz w:val="32"/>
          <w:szCs w:val="32"/>
        </w:rPr>
      </w:pPr>
      <w:r>
        <w:rPr>
          <w:rFonts w:hint="eastAsia" w:ascii="仿宋_GB2312" w:hAnsi="ˎ̥" w:eastAsia="仿宋_GB2312" w:cs="Times New Roman"/>
          <w:b/>
          <w:sz w:val="32"/>
          <w:szCs w:val="32"/>
        </w:rPr>
        <w:t>1.因公出国（境）费</w:t>
      </w:r>
      <w:r>
        <w:rPr>
          <w:rFonts w:hint="eastAsia" w:ascii="仿宋_GB2312" w:hAnsi="ˎ̥" w:eastAsia="仿宋_GB2312" w:cs="Times New Roman"/>
          <w:sz w:val="32"/>
          <w:szCs w:val="32"/>
        </w:rPr>
        <w:t>支出0万元。全年安排因公出国（境）团组0个，因公出国（境）0人次。</w:t>
      </w:r>
    </w:p>
    <w:p>
      <w:pPr>
        <w:ind w:firstLine="640" w:firstLineChars="200"/>
        <w:rPr>
          <w:rFonts w:hint="eastAsia" w:ascii="仿宋_GB2312" w:hAnsi="ˎ̥" w:eastAsia="仿宋_GB2312" w:cs="Times New Roman"/>
          <w:sz w:val="32"/>
          <w:szCs w:val="32"/>
        </w:rPr>
      </w:pPr>
      <w:r>
        <w:rPr>
          <w:rFonts w:hint="eastAsia" w:ascii="仿宋_GB2312" w:hAnsi="ˎ̥" w:eastAsia="仿宋_GB2312" w:cs="Times New Roman"/>
          <w:sz w:val="32"/>
          <w:szCs w:val="32"/>
        </w:rPr>
        <w:t>因公出国（境）费支出决算与预算数持平。</w:t>
      </w:r>
    </w:p>
    <w:p>
      <w:pPr>
        <w:rPr>
          <w:rFonts w:ascii="仿宋_GB2312" w:hAnsi="ˎ̥" w:eastAsia="仿宋_GB2312" w:cs="Times New Roman"/>
          <w:sz w:val="32"/>
          <w:szCs w:val="32"/>
        </w:rPr>
      </w:pPr>
      <w:r>
        <w:rPr>
          <w:rFonts w:hint="eastAsia" w:ascii="仿宋_GB2312" w:hAnsi="ˎ̥" w:eastAsia="仿宋_GB2312" w:cs="Times New Roman"/>
          <w:b/>
          <w:sz w:val="32"/>
          <w:szCs w:val="32"/>
        </w:rPr>
        <w:t xml:space="preserve">    2.公务用车购置及运行费支出</w:t>
      </w:r>
      <w:r>
        <w:rPr>
          <w:rFonts w:hint="eastAsia" w:ascii="仿宋_GB2312" w:hAnsi="ˎ̥" w:eastAsia="仿宋_GB2312" w:cs="Times New Roman"/>
          <w:sz w:val="32"/>
          <w:szCs w:val="32"/>
        </w:rPr>
        <w:t>0万元。其中：</w:t>
      </w:r>
    </w:p>
    <w:p>
      <w:pPr>
        <w:ind w:firstLine="643" w:firstLineChars="200"/>
        <w:rPr>
          <w:rFonts w:ascii="仿宋_GB2312" w:hAnsi="ˎ̥" w:eastAsia="仿宋_GB2312" w:cs="Times New Roman"/>
          <w:sz w:val="32"/>
          <w:szCs w:val="32"/>
        </w:rPr>
      </w:pPr>
      <w:r>
        <w:rPr>
          <w:rFonts w:hint="eastAsia" w:ascii="仿宋_GB2312" w:hAnsi="ˎ̥" w:eastAsia="仿宋_GB2312" w:cs="Times New Roman"/>
          <w:b/>
          <w:sz w:val="32"/>
          <w:szCs w:val="32"/>
        </w:rPr>
        <w:t>公务用车购置支出</w:t>
      </w:r>
      <w:r>
        <w:rPr>
          <w:rFonts w:hint="eastAsia" w:ascii="仿宋_GB2312" w:hAnsi="ˎ̥" w:eastAsia="仿宋_GB2312" w:cs="Times New Roman"/>
          <w:sz w:val="32"/>
          <w:szCs w:val="32"/>
        </w:rPr>
        <w:t>0万元，全年购置公务用车0辆，年末公务用车保有量0辆。</w:t>
      </w:r>
    </w:p>
    <w:p>
      <w:pPr>
        <w:ind w:firstLine="643" w:firstLineChars="200"/>
        <w:rPr>
          <w:rFonts w:hint="eastAsia" w:ascii="仿宋_GB2312" w:hAnsi="ˎ̥" w:eastAsia="仿宋_GB2312" w:cs="Times New Roman"/>
          <w:sz w:val="32"/>
          <w:szCs w:val="32"/>
        </w:rPr>
      </w:pPr>
      <w:r>
        <w:rPr>
          <w:rFonts w:hint="eastAsia" w:ascii="仿宋_GB2312" w:hAnsi="ˎ̥" w:eastAsia="仿宋_GB2312" w:cs="Times New Roman"/>
          <w:b/>
          <w:sz w:val="32"/>
          <w:szCs w:val="32"/>
        </w:rPr>
        <w:t>公务用车运行维护费</w:t>
      </w:r>
      <w:r>
        <w:rPr>
          <w:rFonts w:hint="eastAsia" w:ascii="仿宋_GB2312" w:hAnsi="ˎ̥" w:eastAsia="仿宋_GB2312" w:cs="Times New Roman"/>
          <w:sz w:val="32"/>
          <w:szCs w:val="32"/>
        </w:rPr>
        <w:t>支出0万元。</w:t>
      </w:r>
    </w:p>
    <w:p>
      <w:pPr>
        <w:ind w:firstLine="640" w:firstLineChars="200"/>
        <w:rPr>
          <w:rFonts w:hint="eastAsia" w:ascii="仿宋_GB2312" w:hAnsi="ˎ̥" w:eastAsia="仿宋_GB2312" w:cs="Times New Roman"/>
          <w:sz w:val="32"/>
          <w:szCs w:val="32"/>
        </w:rPr>
      </w:pPr>
      <w:r>
        <w:rPr>
          <w:rFonts w:hint="eastAsia" w:ascii="仿宋_GB2312" w:hAnsi="ˎ̥" w:eastAsia="仿宋_GB2312" w:cs="Times New Roman"/>
          <w:sz w:val="32"/>
          <w:szCs w:val="32"/>
        </w:rPr>
        <w:t>公务用车购置及运行费支出决算与预算数持平。</w:t>
      </w:r>
    </w:p>
    <w:p>
      <w:pPr>
        <w:rPr>
          <w:rFonts w:ascii="仿宋_GB2312" w:hAnsi="ˎ̥" w:eastAsia="仿宋_GB2312" w:cs="Times New Roman"/>
          <w:sz w:val="32"/>
          <w:szCs w:val="32"/>
        </w:rPr>
      </w:pPr>
      <w:r>
        <w:rPr>
          <w:rFonts w:hint="eastAsia" w:ascii="仿宋_GB2312" w:hAnsi="ˎ̥" w:eastAsia="仿宋_GB2312" w:cs="Times New Roman"/>
          <w:b/>
          <w:sz w:val="32"/>
          <w:szCs w:val="32"/>
        </w:rPr>
        <w:t xml:space="preserve">    3.公务接待费支出</w:t>
      </w:r>
      <w:r>
        <w:rPr>
          <w:rFonts w:hint="eastAsia" w:ascii="仿宋_GB2312" w:hAnsi="ˎ̥" w:eastAsia="仿宋_GB2312" w:cs="Times New Roman"/>
          <w:sz w:val="32"/>
          <w:szCs w:val="32"/>
        </w:rPr>
        <w:t>0万元，其中：</w:t>
      </w:r>
    </w:p>
    <w:p>
      <w:pPr>
        <w:ind w:firstLine="643" w:firstLineChars="200"/>
        <w:rPr>
          <w:rFonts w:ascii="仿宋_GB2312" w:hAnsi="ˎ̥" w:eastAsia="仿宋_GB2312" w:cs="Times New Roman"/>
          <w:sz w:val="32"/>
          <w:szCs w:val="32"/>
        </w:rPr>
      </w:pPr>
      <w:r>
        <w:rPr>
          <w:rFonts w:hint="eastAsia" w:ascii="仿宋_GB2312" w:hAnsi="ˎ̥" w:eastAsia="仿宋_GB2312" w:cs="Times New Roman"/>
          <w:b/>
          <w:sz w:val="32"/>
          <w:szCs w:val="32"/>
        </w:rPr>
        <w:t>国内接待费</w:t>
      </w:r>
      <w:r>
        <w:rPr>
          <w:rFonts w:hint="eastAsia" w:ascii="仿宋_GB2312" w:hAnsi="ˎ̥" w:eastAsia="仿宋_GB2312" w:cs="Times New Roman"/>
          <w:sz w:val="32"/>
          <w:szCs w:val="32"/>
        </w:rPr>
        <w:t>支出0万元，国内公务接待0批次，接待0人次。</w:t>
      </w:r>
    </w:p>
    <w:p>
      <w:pPr>
        <w:ind w:firstLine="640" w:firstLineChars="200"/>
        <w:rPr>
          <w:rFonts w:hint="eastAsia" w:ascii="仿宋_GB2312" w:hAnsi="ˎ̥" w:eastAsia="仿宋_GB2312" w:cs="Times New Roman"/>
          <w:sz w:val="32"/>
          <w:szCs w:val="32"/>
        </w:rPr>
      </w:pPr>
      <w:r>
        <w:rPr>
          <w:rFonts w:hint="eastAsia" w:ascii="仿宋_GB2312" w:hAnsi="ˎ̥" w:eastAsia="仿宋_GB2312" w:cs="Times New Roman"/>
          <w:sz w:val="32"/>
          <w:szCs w:val="32"/>
        </w:rPr>
        <w:t>国（境）外接待费支出0万元，国（境）外公务接待0批次，接待0人次。</w:t>
      </w:r>
    </w:p>
    <w:p>
      <w:pPr>
        <w:ind w:firstLine="640" w:firstLineChars="200"/>
        <w:rPr>
          <w:rFonts w:hint="eastAsia" w:ascii="仿宋_GB2312" w:hAnsi="ˎ̥" w:eastAsia="仿宋_GB2312" w:cs="Times New Roman"/>
          <w:sz w:val="32"/>
          <w:szCs w:val="32"/>
        </w:rPr>
      </w:pPr>
      <w:r>
        <w:rPr>
          <w:rFonts w:hint="eastAsia" w:ascii="仿宋_GB2312" w:hAnsi="ˎ̥" w:eastAsia="仿宋_GB2312" w:cs="Times New Roman"/>
          <w:sz w:val="32"/>
          <w:szCs w:val="32"/>
          <w:lang w:val="zh-CN"/>
        </w:rPr>
        <w:t>公务接待费支出决算数与预算数持平。</w:t>
      </w:r>
    </w:p>
    <w:p>
      <w:pPr>
        <w:ind w:firstLine="640" w:firstLineChars="200"/>
        <w:rPr>
          <w:rFonts w:ascii="黑体" w:hAnsi="黑体" w:eastAsia="黑体" w:cs="黑体"/>
          <w:bCs/>
          <w:sz w:val="32"/>
          <w:szCs w:val="32"/>
        </w:rPr>
      </w:pPr>
      <w:r>
        <w:rPr>
          <w:rFonts w:hint="eastAsia" w:ascii="黑体" w:hAnsi="黑体" w:eastAsia="黑体" w:cs="黑体"/>
          <w:bCs/>
          <w:sz w:val="32"/>
          <w:szCs w:val="32"/>
          <w:lang w:val="en-US" w:eastAsia="zh-CN"/>
        </w:rPr>
        <w:t>十</w:t>
      </w:r>
      <w:r>
        <w:rPr>
          <w:rFonts w:hint="eastAsia" w:ascii="黑体" w:hAnsi="黑体" w:eastAsia="黑体" w:cs="黑体"/>
          <w:bCs/>
          <w:sz w:val="32"/>
          <w:szCs w:val="32"/>
        </w:rPr>
        <w:t>、预算绩效情况说明。</w:t>
      </w:r>
    </w:p>
    <w:p>
      <w:pPr>
        <w:spacing w:line="578" w:lineRule="exact"/>
        <w:ind w:firstLine="643" w:firstLineChars="200"/>
        <w:rPr>
          <w:rFonts w:hint="eastAsia" w:ascii="楷体" w:hAnsi="楷体" w:eastAsia="楷体" w:cs="楷体"/>
          <w:b/>
          <w:color w:val="000000" w:themeColor="text1"/>
          <w:sz w:val="32"/>
          <w:szCs w:val="32"/>
          <w14:textFill>
            <w14:solidFill>
              <w14:schemeClr w14:val="tx1"/>
            </w14:solidFill>
          </w14:textFill>
        </w:rPr>
      </w:pPr>
      <w:r>
        <w:rPr>
          <w:rFonts w:hint="eastAsia" w:ascii="楷体" w:hAnsi="楷体" w:eastAsia="楷体" w:cs="楷体"/>
          <w:b/>
          <w:color w:val="000000" w:themeColor="text1"/>
          <w:sz w:val="32"/>
          <w:szCs w:val="32"/>
          <w14:textFill>
            <w14:solidFill>
              <w14:schemeClr w14:val="tx1"/>
            </w14:solidFill>
          </w14:textFill>
        </w:rPr>
        <w:t>（一）绩效管理工作开展情况。</w:t>
      </w:r>
    </w:p>
    <w:p>
      <w:pPr>
        <w:spacing w:line="578" w:lineRule="exact"/>
        <w:ind w:firstLine="960" w:firstLineChars="300"/>
        <w:rPr>
          <w:rFonts w:hint="default" w:ascii="楷体" w:hAnsi="楷体" w:eastAsia="楷体" w:cs="楷体"/>
          <w:b w:val="0"/>
          <w:bCs/>
          <w:color w:val="000000" w:themeColor="text1"/>
          <w:sz w:val="32"/>
          <w:szCs w:val="32"/>
          <w:lang w:val="en-US" w:eastAsia="zh-CN"/>
          <w14:textFill>
            <w14:solidFill>
              <w14:schemeClr w14:val="tx1"/>
            </w14:solidFill>
          </w14:textFill>
        </w:rPr>
      </w:pPr>
      <w:r>
        <w:rPr>
          <w:rFonts w:hint="eastAsia" w:ascii="楷体" w:hAnsi="楷体" w:eastAsia="楷体" w:cs="楷体"/>
          <w:b w:val="0"/>
          <w:bCs/>
          <w:color w:val="000000" w:themeColor="text1"/>
          <w:sz w:val="32"/>
          <w:szCs w:val="32"/>
          <w:lang w:val="en-US" w:eastAsia="zh-CN"/>
          <w14:textFill>
            <w14:solidFill>
              <w14:schemeClr w14:val="tx1"/>
            </w14:solidFill>
          </w14:textFill>
        </w:rPr>
        <w:t>无。</w:t>
      </w:r>
    </w:p>
    <w:p>
      <w:pPr>
        <w:numPr>
          <w:ilvl w:val="0"/>
          <w:numId w:val="2"/>
        </w:numPr>
        <w:spacing w:line="578" w:lineRule="exact"/>
        <w:ind w:firstLine="643" w:firstLineChars="200"/>
        <w:rPr>
          <w:rFonts w:hint="eastAsia" w:ascii="楷体" w:hAnsi="楷体" w:eastAsia="楷体" w:cs="楷体"/>
          <w:b/>
          <w:color w:val="000000" w:themeColor="text1"/>
          <w:sz w:val="32"/>
          <w:szCs w:val="32"/>
          <w14:textFill>
            <w14:solidFill>
              <w14:schemeClr w14:val="tx1"/>
            </w14:solidFill>
          </w14:textFill>
        </w:rPr>
      </w:pPr>
      <w:r>
        <w:rPr>
          <w:rFonts w:hint="eastAsia" w:ascii="楷体" w:hAnsi="楷体" w:eastAsia="楷体" w:cs="楷体"/>
          <w:b/>
          <w:color w:val="000000" w:themeColor="text1"/>
          <w:sz w:val="32"/>
          <w:szCs w:val="32"/>
          <w14:textFill>
            <w14:solidFill>
              <w14:schemeClr w14:val="tx1"/>
            </w14:solidFill>
          </w14:textFill>
        </w:rPr>
        <w:t>部门决算中项目绩效自评结果。</w:t>
      </w:r>
    </w:p>
    <w:p>
      <w:pPr>
        <w:numPr>
          <w:ilvl w:val="0"/>
          <w:numId w:val="0"/>
        </w:numPr>
        <w:spacing w:line="578" w:lineRule="exact"/>
        <w:rPr>
          <w:rFonts w:hint="default" w:ascii="仿宋_GB2312" w:hAnsi="Times New Roman" w:eastAsia="仿宋_GB2312" w:cs="Times New Roman"/>
          <w:color w:val="FF0000"/>
          <w:sz w:val="32"/>
          <w:szCs w:val="32"/>
          <w:highlight w:val="none"/>
          <w:lang w:val="en-US" w:eastAsia="zh-CN"/>
        </w:rPr>
      </w:pPr>
      <w:r>
        <w:rPr>
          <w:rFonts w:hint="eastAsia" w:ascii="楷体" w:hAnsi="楷体" w:eastAsia="楷体" w:cs="楷体"/>
          <w:b/>
          <w:color w:val="000000" w:themeColor="text1"/>
          <w:sz w:val="32"/>
          <w:szCs w:val="32"/>
          <w:lang w:val="en-US" w:eastAsia="zh-CN"/>
          <w14:textFill>
            <w14:solidFill>
              <w14:schemeClr w14:val="tx1"/>
            </w14:solidFill>
          </w14:textFill>
        </w:rPr>
        <w:t xml:space="preserve">    </w:t>
      </w:r>
      <w:r>
        <w:rPr>
          <w:rFonts w:hint="eastAsia" w:ascii="仿宋_GB2312" w:hAnsi="Times New Roman" w:eastAsia="仿宋_GB2312" w:cs="Times New Roman"/>
          <w:sz w:val="32"/>
          <w:szCs w:val="32"/>
          <w:highlight w:val="none"/>
          <w:lang w:val="en-US" w:eastAsia="zh-CN"/>
        </w:rPr>
        <w:t xml:space="preserve">为了改善学校办学条件，完善学校硬件设备，保障学校平稳发展满足学校教学需求，学校引进师资队伍；并购置专用设备等固定资产，该项目支出都从学校教育发展专项资金支出，学校存在经费缺口，还有设施设备未完成采购。 </w:t>
      </w:r>
      <w:r>
        <w:rPr>
          <w:rFonts w:hint="eastAsia" w:ascii="楷体" w:hAnsi="楷体" w:eastAsia="楷体" w:cs="楷体"/>
          <w:b/>
          <w:color w:val="000000" w:themeColor="text1"/>
          <w:sz w:val="32"/>
          <w:szCs w:val="32"/>
          <w:highlight w:val="none"/>
          <w:lang w:val="en-US" w:eastAsia="zh-CN"/>
          <w14:textFill>
            <w14:solidFill>
              <w14:schemeClr w14:val="tx1"/>
            </w14:solidFill>
          </w14:textFill>
        </w:rPr>
        <w:t xml:space="preserve"> </w:t>
      </w:r>
    </w:p>
    <w:p>
      <w:pPr>
        <w:numPr>
          <w:ilvl w:val="0"/>
          <w:numId w:val="2"/>
        </w:numPr>
        <w:spacing w:line="578" w:lineRule="exact"/>
        <w:ind w:left="0" w:leftChars="0" w:firstLine="643" w:firstLineChars="200"/>
        <w:rPr>
          <w:rFonts w:hint="eastAsia" w:ascii="楷体" w:hAnsi="楷体" w:eastAsia="楷体" w:cs="楷体"/>
          <w:b/>
          <w:color w:val="000000" w:themeColor="text1"/>
          <w:sz w:val="32"/>
          <w:szCs w:val="32"/>
          <w:highlight w:val="none"/>
          <w14:textFill>
            <w14:solidFill>
              <w14:schemeClr w14:val="tx1"/>
            </w14:solidFill>
          </w14:textFill>
        </w:rPr>
      </w:pPr>
      <w:r>
        <w:rPr>
          <w:rFonts w:hint="eastAsia" w:ascii="楷体" w:hAnsi="楷体" w:eastAsia="楷体" w:cs="楷体"/>
          <w:b/>
          <w:color w:val="000000" w:themeColor="text1"/>
          <w:sz w:val="32"/>
          <w:szCs w:val="32"/>
          <w:highlight w:val="none"/>
          <w14:textFill>
            <w14:solidFill>
              <w14:schemeClr w14:val="tx1"/>
            </w14:solidFill>
          </w14:textFill>
        </w:rPr>
        <w:t>财政评价项目绩效评价结果。</w:t>
      </w:r>
    </w:p>
    <w:p>
      <w:pPr>
        <w:spacing w:line="578" w:lineRule="exact"/>
        <w:ind w:firstLine="1280" w:firstLineChars="400"/>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lang w:val="en-US" w:eastAsia="zh-CN"/>
        </w:rPr>
        <w:t>无。</w:t>
      </w:r>
    </w:p>
    <w:p>
      <w:pPr>
        <w:numPr>
          <w:ilvl w:val="0"/>
          <w:numId w:val="2"/>
        </w:numPr>
        <w:spacing w:line="578" w:lineRule="exact"/>
        <w:ind w:left="0" w:leftChars="0" w:firstLine="643" w:firstLineChars="200"/>
        <w:rPr>
          <w:rFonts w:hint="eastAsia" w:ascii="楷体" w:hAnsi="楷体" w:eastAsia="楷体" w:cs="楷体"/>
          <w:b/>
          <w:color w:val="000000" w:themeColor="text1"/>
          <w:sz w:val="32"/>
          <w:szCs w:val="32"/>
          <w:highlight w:val="none"/>
          <w14:textFill>
            <w14:solidFill>
              <w14:schemeClr w14:val="tx1"/>
            </w14:solidFill>
          </w14:textFill>
        </w:rPr>
      </w:pPr>
      <w:r>
        <w:rPr>
          <w:rFonts w:hint="eastAsia" w:ascii="楷体" w:hAnsi="楷体" w:eastAsia="楷体" w:cs="楷体"/>
          <w:b/>
          <w:color w:val="000000" w:themeColor="text1"/>
          <w:sz w:val="32"/>
          <w:szCs w:val="32"/>
          <w:highlight w:val="none"/>
          <w14:textFill>
            <w14:solidFill>
              <w14:schemeClr w14:val="tx1"/>
            </w14:solidFill>
          </w14:textFill>
        </w:rPr>
        <w:t>部门评价项目绩效评价结果。</w:t>
      </w:r>
    </w:p>
    <w:p>
      <w:pPr>
        <w:numPr>
          <w:ilvl w:val="0"/>
          <w:numId w:val="0"/>
        </w:numPr>
        <w:spacing w:line="578" w:lineRule="exact"/>
        <w:ind w:leftChars="200" w:firstLine="960" w:firstLineChars="300"/>
        <w:rPr>
          <w:rFonts w:hint="eastAsia" w:ascii="楷体" w:hAnsi="楷体" w:eastAsia="楷体" w:cs="楷体"/>
          <w:b/>
          <w:color w:val="000000" w:themeColor="text1"/>
          <w:sz w:val="32"/>
          <w:szCs w:val="32"/>
          <w:highlight w:val="none"/>
          <w14:textFill>
            <w14:solidFill>
              <w14:schemeClr w14:val="tx1"/>
            </w14:solidFill>
          </w14:textFill>
        </w:rPr>
      </w:pPr>
      <w:r>
        <w:rPr>
          <w:rFonts w:hint="eastAsia" w:ascii="仿宋_GB2312" w:hAnsi="Times New Roman" w:eastAsia="仿宋_GB2312" w:cs="Times New Roman"/>
          <w:sz w:val="32"/>
          <w:szCs w:val="32"/>
          <w:highlight w:val="none"/>
          <w:lang w:val="en-US" w:eastAsia="zh-CN"/>
        </w:rPr>
        <w:t>无。</w:t>
      </w:r>
    </w:p>
    <w:p>
      <w:pPr>
        <w:ind w:firstLine="640" w:firstLineChars="200"/>
        <w:rPr>
          <w:rFonts w:ascii="黑体" w:hAnsi="黑体" w:eastAsia="黑体" w:cs="黑体"/>
          <w:bCs/>
          <w:sz w:val="32"/>
          <w:szCs w:val="32"/>
          <w:highlight w:val="none"/>
        </w:rPr>
      </w:pPr>
      <w:r>
        <w:rPr>
          <w:rFonts w:hint="eastAsia" w:ascii="黑体" w:hAnsi="黑体" w:eastAsia="黑体" w:cs="黑体"/>
          <w:bCs/>
          <w:sz w:val="32"/>
          <w:szCs w:val="32"/>
          <w:highlight w:val="none"/>
        </w:rPr>
        <w:t>十</w:t>
      </w:r>
      <w:r>
        <w:rPr>
          <w:rFonts w:hint="eastAsia" w:ascii="黑体" w:hAnsi="黑体" w:eastAsia="黑体" w:cs="黑体"/>
          <w:bCs/>
          <w:sz w:val="32"/>
          <w:szCs w:val="32"/>
          <w:highlight w:val="none"/>
          <w:lang w:val="en-US" w:eastAsia="zh-CN"/>
        </w:rPr>
        <w:t>一</w:t>
      </w:r>
      <w:r>
        <w:rPr>
          <w:rFonts w:hint="eastAsia" w:ascii="黑体" w:hAnsi="黑体" w:eastAsia="黑体" w:cs="黑体"/>
          <w:bCs/>
          <w:sz w:val="32"/>
          <w:szCs w:val="32"/>
          <w:highlight w:val="none"/>
        </w:rPr>
        <w:t>、其他重要事项情况说明。</w:t>
      </w:r>
    </w:p>
    <w:p>
      <w:pPr>
        <w:ind w:firstLine="643" w:firstLineChars="200"/>
        <w:rPr>
          <w:rFonts w:ascii="楷体" w:hAnsi="楷体" w:eastAsia="楷体" w:cs="楷体"/>
          <w:b/>
          <w:sz w:val="32"/>
          <w:szCs w:val="32"/>
        </w:rPr>
      </w:pPr>
      <w:bookmarkStart w:id="99" w:name="_Toc15565_WPSOffice_Level2"/>
      <w:bookmarkStart w:id="100" w:name="_Toc18325_WPSOffice_Level2"/>
      <w:bookmarkStart w:id="101" w:name="_Toc15262_WPSOffice_Level2"/>
      <w:bookmarkStart w:id="102" w:name="_Toc23598_WPSOffice_Level2"/>
      <w:bookmarkStart w:id="103" w:name="_Toc32639_WPSOffice_Level2"/>
      <w:bookmarkStart w:id="104" w:name="_Toc5978_WPSOffice_Level2"/>
      <w:r>
        <w:rPr>
          <w:rFonts w:hint="eastAsia" w:ascii="楷体" w:hAnsi="楷体" w:eastAsia="楷体" w:cs="楷体"/>
          <w:b/>
          <w:sz w:val="32"/>
          <w:szCs w:val="32"/>
        </w:rPr>
        <w:t>（一）机关运行经费支出情况。</w:t>
      </w:r>
      <w:bookmarkEnd w:id="99"/>
      <w:bookmarkEnd w:id="100"/>
      <w:bookmarkEnd w:id="101"/>
      <w:bookmarkEnd w:id="102"/>
      <w:bookmarkEnd w:id="103"/>
      <w:bookmarkEnd w:id="104"/>
    </w:p>
    <w:p>
      <w:pPr>
        <w:ind w:firstLine="640" w:firstLineChars="200"/>
        <w:rPr>
          <w:rFonts w:ascii="仿宋_GB2312" w:hAnsi="ˎ̥" w:eastAsia="仿宋_GB2312" w:cs="Times New Roman"/>
          <w:sz w:val="32"/>
          <w:szCs w:val="32"/>
        </w:rPr>
      </w:pPr>
      <w:r>
        <w:rPr>
          <w:rFonts w:hint="eastAsia" w:ascii="仿宋_GB2312" w:hAnsi="ˎ̥" w:eastAsia="仿宋_GB2312" w:cs="Times New Roman"/>
          <w:color w:val="000000" w:themeColor="text1"/>
          <w:sz w:val="32"/>
          <w:szCs w:val="32"/>
          <w:lang w:eastAsia="zh-CN"/>
          <w14:textFill>
            <w14:solidFill>
              <w14:schemeClr w14:val="tx1"/>
            </w14:solidFill>
          </w14:textFill>
        </w:rPr>
        <w:t>202</w:t>
      </w:r>
      <w:r>
        <w:rPr>
          <w:rFonts w:hint="eastAsia" w:ascii="仿宋_GB2312" w:hAnsi="ˎ̥" w:eastAsia="仿宋_GB2312" w:cs="Times New Roman"/>
          <w:color w:val="000000" w:themeColor="text1"/>
          <w:sz w:val="32"/>
          <w:szCs w:val="32"/>
          <w:lang w:val="en-US" w:eastAsia="zh-CN"/>
          <w14:textFill>
            <w14:solidFill>
              <w14:schemeClr w14:val="tx1"/>
            </w14:solidFill>
          </w14:textFill>
        </w:rPr>
        <w:t>2</w:t>
      </w:r>
      <w:r>
        <w:rPr>
          <w:rFonts w:hint="eastAsia" w:ascii="仿宋_GB2312" w:hAnsi="ˎ̥" w:eastAsia="仿宋_GB2312" w:cs="Times New Roman"/>
          <w:color w:val="000000" w:themeColor="text1"/>
          <w:sz w:val="32"/>
          <w:szCs w:val="32"/>
          <w14:textFill>
            <w14:solidFill>
              <w14:schemeClr w14:val="tx1"/>
            </w14:solidFill>
          </w14:textFill>
        </w:rPr>
        <w:t>年度三亚市天涯区</w:t>
      </w:r>
      <w:r>
        <w:rPr>
          <w:rFonts w:hint="eastAsia" w:ascii="仿宋_GB2312" w:hAnsi="ˎ̥" w:eastAsia="仿宋_GB2312" w:cs="Times New Roman"/>
          <w:color w:val="000000" w:themeColor="text1"/>
          <w:sz w:val="32"/>
          <w:szCs w:val="32"/>
          <w:lang w:val="en-US" w:eastAsia="zh-CN"/>
          <w14:textFill>
            <w14:solidFill>
              <w14:schemeClr w14:val="tx1"/>
            </w14:solidFill>
          </w14:textFill>
        </w:rPr>
        <w:t>第二幼儿园</w:t>
      </w:r>
      <w:r>
        <w:rPr>
          <w:rFonts w:hint="eastAsia" w:ascii="仿宋_GB2312" w:hAnsi="ˎ̥" w:eastAsia="仿宋_GB2312" w:cs="Times New Roman"/>
          <w:color w:val="000000" w:themeColor="text1"/>
          <w:sz w:val="32"/>
          <w:szCs w:val="32"/>
          <w14:textFill>
            <w14:solidFill>
              <w14:schemeClr w14:val="tx1"/>
            </w14:solidFill>
          </w14:textFill>
        </w:rPr>
        <w:t>机关运行经费0万元。主要原因是：事业单位没</w:t>
      </w:r>
      <w:r>
        <w:rPr>
          <w:rFonts w:hint="eastAsia" w:ascii="仿宋_GB2312" w:hAnsi="ˎ̥" w:eastAsia="仿宋_GB2312" w:cs="Times New Roman"/>
          <w:sz w:val="32"/>
          <w:szCs w:val="32"/>
        </w:rPr>
        <w:t>有机关运行经费支出</w:t>
      </w:r>
    </w:p>
    <w:p>
      <w:pPr>
        <w:ind w:firstLine="643" w:firstLineChars="200"/>
        <w:rPr>
          <w:rFonts w:ascii="楷体" w:hAnsi="楷体" w:eastAsia="楷体" w:cs="楷体"/>
          <w:b/>
          <w:sz w:val="32"/>
          <w:szCs w:val="32"/>
        </w:rPr>
      </w:pPr>
      <w:bookmarkStart w:id="105" w:name="_Toc30383_WPSOffice_Level2"/>
      <w:bookmarkStart w:id="106" w:name="_Toc3131_WPSOffice_Level2"/>
      <w:bookmarkStart w:id="107" w:name="_Toc13084_WPSOffice_Level2"/>
      <w:bookmarkStart w:id="108" w:name="_Toc23966_WPSOffice_Level2"/>
      <w:bookmarkStart w:id="109" w:name="_Toc25333_WPSOffice_Level2"/>
      <w:bookmarkStart w:id="110" w:name="_Toc32689_WPSOffice_Level2"/>
      <w:r>
        <w:rPr>
          <w:rFonts w:hint="eastAsia" w:ascii="楷体" w:hAnsi="楷体" w:eastAsia="楷体" w:cs="楷体"/>
          <w:b/>
          <w:sz w:val="32"/>
          <w:szCs w:val="32"/>
        </w:rPr>
        <w:t>（二）政府采购支出情况。</w:t>
      </w:r>
      <w:bookmarkEnd w:id="105"/>
      <w:bookmarkEnd w:id="106"/>
      <w:bookmarkEnd w:id="107"/>
      <w:bookmarkEnd w:id="108"/>
      <w:bookmarkEnd w:id="109"/>
      <w:bookmarkEnd w:id="110"/>
    </w:p>
    <w:p>
      <w:pPr>
        <w:ind w:firstLine="640" w:firstLineChars="200"/>
        <w:rPr>
          <w:rFonts w:ascii="仿宋_GB2312" w:hAnsi="ˎ̥" w:eastAsia="仿宋_GB2312" w:cs="Times New Roman"/>
          <w:color w:val="000000" w:themeColor="text1"/>
          <w:sz w:val="32"/>
          <w:szCs w:val="32"/>
          <w14:textFill>
            <w14:solidFill>
              <w14:schemeClr w14:val="tx1"/>
            </w14:solidFill>
          </w14:textFill>
        </w:rPr>
      </w:pPr>
      <w:r>
        <w:rPr>
          <w:rFonts w:hint="eastAsia" w:ascii="仿宋_GB2312" w:hAnsi="ˎ̥" w:eastAsia="仿宋_GB2312" w:cs="Times New Roman"/>
          <w:color w:val="000000" w:themeColor="text1"/>
          <w:sz w:val="32"/>
          <w:szCs w:val="32"/>
          <w:lang w:eastAsia="zh-CN"/>
          <w14:textFill>
            <w14:solidFill>
              <w14:schemeClr w14:val="tx1"/>
            </w14:solidFill>
          </w14:textFill>
        </w:rPr>
        <w:t>202</w:t>
      </w:r>
      <w:r>
        <w:rPr>
          <w:rFonts w:hint="eastAsia" w:ascii="仿宋_GB2312" w:hAnsi="ˎ̥" w:eastAsia="仿宋_GB2312" w:cs="Times New Roman"/>
          <w:color w:val="000000" w:themeColor="text1"/>
          <w:sz w:val="32"/>
          <w:szCs w:val="32"/>
          <w:lang w:val="en-US" w:eastAsia="zh-CN"/>
          <w14:textFill>
            <w14:solidFill>
              <w14:schemeClr w14:val="tx1"/>
            </w14:solidFill>
          </w14:textFill>
        </w:rPr>
        <w:t>2</w:t>
      </w:r>
      <w:r>
        <w:rPr>
          <w:rFonts w:hint="eastAsia" w:ascii="仿宋_GB2312" w:hAnsi="ˎ̥" w:eastAsia="仿宋_GB2312" w:cs="Times New Roman"/>
          <w:color w:val="000000" w:themeColor="text1"/>
          <w:sz w:val="32"/>
          <w:szCs w:val="32"/>
          <w14:textFill>
            <w14:solidFill>
              <w14:schemeClr w14:val="tx1"/>
            </w14:solidFill>
          </w14:textFill>
        </w:rPr>
        <w:t>年度三亚市天涯区</w:t>
      </w:r>
      <w:r>
        <w:rPr>
          <w:rFonts w:hint="eastAsia" w:ascii="仿宋_GB2312" w:hAnsi="ˎ̥" w:eastAsia="仿宋_GB2312" w:cs="Times New Roman"/>
          <w:color w:val="000000" w:themeColor="text1"/>
          <w:sz w:val="32"/>
          <w:szCs w:val="32"/>
          <w:lang w:val="en-US" w:eastAsia="zh-CN"/>
          <w14:textFill>
            <w14:solidFill>
              <w14:schemeClr w14:val="tx1"/>
            </w14:solidFill>
          </w14:textFill>
        </w:rPr>
        <w:t>第二幼儿园</w:t>
      </w:r>
      <w:r>
        <w:rPr>
          <w:rFonts w:hint="eastAsia" w:ascii="仿宋_GB2312" w:hAnsi="ˎ̥" w:eastAsia="仿宋_GB2312" w:cs="Times New Roman"/>
          <w:color w:val="000000" w:themeColor="text1"/>
          <w:sz w:val="32"/>
          <w:szCs w:val="32"/>
          <w14:textFill>
            <w14:solidFill>
              <w14:schemeClr w14:val="tx1"/>
            </w14:solidFill>
          </w14:textFill>
        </w:rPr>
        <w:t>政府采购支出总额</w:t>
      </w:r>
      <w:r>
        <w:rPr>
          <w:rFonts w:hint="eastAsia" w:ascii="仿宋_GB2312" w:hAnsi="ˎ̥" w:eastAsia="仿宋_GB2312" w:cs="Times New Roman"/>
          <w:color w:val="000000" w:themeColor="text1"/>
          <w:sz w:val="32"/>
          <w:szCs w:val="32"/>
          <w:lang w:val="en-US" w:eastAsia="zh-CN"/>
          <w14:textFill>
            <w14:solidFill>
              <w14:schemeClr w14:val="tx1"/>
            </w14:solidFill>
          </w14:textFill>
        </w:rPr>
        <w:t>7.58</w:t>
      </w:r>
      <w:r>
        <w:rPr>
          <w:rFonts w:hint="eastAsia" w:ascii="仿宋_GB2312" w:hAnsi="ˎ̥" w:eastAsia="仿宋_GB2312" w:cs="Times New Roman"/>
          <w:color w:val="000000" w:themeColor="text1"/>
          <w:sz w:val="32"/>
          <w:szCs w:val="32"/>
          <w14:textFill>
            <w14:solidFill>
              <w14:schemeClr w14:val="tx1"/>
            </w14:solidFill>
          </w14:textFill>
        </w:rPr>
        <w:t>万元，其中：政府采购货物支出</w:t>
      </w:r>
      <w:r>
        <w:rPr>
          <w:rFonts w:hint="eastAsia" w:ascii="仿宋_GB2312" w:hAnsi="ˎ̥" w:eastAsia="仿宋_GB2312" w:cs="Times New Roman"/>
          <w:color w:val="000000" w:themeColor="text1"/>
          <w:sz w:val="32"/>
          <w:szCs w:val="32"/>
          <w:lang w:val="en-US" w:eastAsia="zh-CN"/>
          <w14:textFill>
            <w14:solidFill>
              <w14:schemeClr w14:val="tx1"/>
            </w14:solidFill>
          </w14:textFill>
        </w:rPr>
        <w:t>7.58</w:t>
      </w:r>
      <w:r>
        <w:rPr>
          <w:rFonts w:hint="eastAsia" w:ascii="仿宋_GB2312" w:hAnsi="ˎ̥" w:eastAsia="仿宋_GB2312" w:cs="Times New Roman"/>
          <w:color w:val="000000" w:themeColor="text1"/>
          <w:sz w:val="32"/>
          <w:szCs w:val="32"/>
          <w14:textFill>
            <w14:solidFill>
              <w14:schemeClr w14:val="tx1"/>
            </w14:solidFill>
          </w14:textFill>
        </w:rPr>
        <w:t>万元、政府采购工程支出0万元、政府采购服务支出0万元。</w:t>
      </w:r>
    </w:p>
    <w:p>
      <w:pPr>
        <w:ind w:firstLine="643" w:firstLineChars="200"/>
        <w:rPr>
          <w:rFonts w:ascii="楷体" w:hAnsi="楷体" w:eastAsia="楷体" w:cs="楷体"/>
          <w:b/>
          <w:sz w:val="32"/>
          <w:szCs w:val="32"/>
        </w:rPr>
      </w:pPr>
      <w:bookmarkStart w:id="111" w:name="_Toc10902_WPSOffice_Level2"/>
      <w:bookmarkStart w:id="112" w:name="_Toc15129_WPSOffice_Level2"/>
      <w:bookmarkStart w:id="113" w:name="_Toc29584_WPSOffice_Level2"/>
      <w:bookmarkStart w:id="114" w:name="_Toc6016_WPSOffice_Level2"/>
      <w:bookmarkStart w:id="115" w:name="_Toc527_WPSOffice_Level2"/>
      <w:bookmarkStart w:id="116" w:name="_Toc19989_WPSOffice_Level2"/>
      <w:r>
        <w:rPr>
          <w:rFonts w:hint="eastAsia" w:ascii="楷体" w:hAnsi="楷体" w:eastAsia="楷体" w:cs="楷体"/>
          <w:b/>
          <w:sz w:val="32"/>
          <w:szCs w:val="32"/>
        </w:rPr>
        <w:t>（三）国有资产占用情况。</w:t>
      </w:r>
      <w:bookmarkEnd w:id="111"/>
      <w:bookmarkEnd w:id="112"/>
      <w:bookmarkEnd w:id="113"/>
      <w:bookmarkEnd w:id="114"/>
      <w:bookmarkEnd w:id="115"/>
      <w:bookmarkEnd w:id="116"/>
    </w:p>
    <w:p>
      <w:pPr>
        <w:spacing w:line="578" w:lineRule="exact"/>
        <w:ind w:firstLine="640" w:firstLineChars="200"/>
        <w:rPr>
          <w:rFonts w:ascii="仿宋_GB2312" w:hAnsi="ˎ̥" w:eastAsia="仿宋_GB2312" w:cs="Times New Roman"/>
          <w:color w:val="000000" w:themeColor="text1"/>
          <w:sz w:val="32"/>
          <w:szCs w:val="32"/>
          <w:highlight w:val="yellow"/>
          <w14:textFill>
            <w14:solidFill>
              <w14:schemeClr w14:val="tx1"/>
            </w14:solidFill>
          </w14:textFill>
        </w:rPr>
      </w:pPr>
      <w:r>
        <w:rPr>
          <w:rFonts w:hint="eastAsia" w:ascii="仿宋_GB2312" w:hAnsi="ˎ̥" w:eastAsia="仿宋_GB2312" w:cs="Times New Roman"/>
          <w:color w:val="000000" w:themeColor="text1"/>
          <w:sz w:val="32"/>
          <w:szCs w:val="32"/>
          <w:highlight w:val="none"/>
          <w14:textFill>
            <w14:solidFill>
              <w14:schemeClr w14:val="tx1"/>
            </w14:solidFill>
          </w14:textFill>
        </w:rPr>
        <w:t>截至</w:t>
      </w:r>
      <w:r>
        <w:rPr>
          <w:rFonts w:hint="eastAsia" w:ascii="仿宋_GB2312" w:hAnsi="ˎ̥" w:eastAsia="仿宋_GB2312" w:cs="Times New Roman"/>
          <w:color w:val="000000" w:themeColor="text1"/>
          <w:sz w:val="32"/>
          <w:szCs w:val="32"/>
          <w:highlight w:val="none"/>
          <w:lang w:eastAsia="zh-CN"/>
          <w14:textFill>
            <w14:solidFill>
              <w14:schemeClr w14:val="tx1"/>
            </w14:solidFill>
          </w14:textFill>
        </w:rPr>
        <w:t>202</w:t>
      </w:r>
      <w:r>
        <w:rPr>
          <w:rFonts w:hint="eastAsia" w:ascii="仿宋_GB2312" w:hAnsi="ˎ̥" w:eastAsia="仿宋_GB2312" w:cs="Times New Roman"/>
          <w:color w:val="000000" w:themeColor="text1"/>
          <w:sz w:val="32"/>
          <w:szCs w:val="32"/>
          <w:highlight w:val="none"/>
          <w:lang w:val="en-US" w:eastAsia="zh-CN"/>
          <w14:textFill>
            <w14:solidFill>
              <w14:schemeClr w14:val="tx1"/>
            </w14:solidFill>
          </w14:textFill>
        </w:rPr>
        <w:t>2</w:t>
      </w:r>
      <w:r>
        <w:rPr>
          <w:rFonts w:hint="eastAsia" w:ascii="仿宋_GB2312" w:hAnsi="ˎ̥" w:eastAsia="仿宋_GB2312" w:cs="Times New Roman"/>
          <w:color w:val="000000" w:themeColor="text1"/>
          <w:sz w:val="32"/>
          <w:szCs w:val="32"/>
          <w:highlight w:val="none"/>
          <w14:textFill>
            <w14:solidFill>
              <w14:schemeClr w14:val="tx1"/>
            </w14:solidFill>
          </w14:textFill>
        </w:rPr>
        <w:t>年12月31日，本部门占用房屋面积</w:t>
      </w:r>
      <w:r>
        <w:rPr>
          <w:rFonts w:hint="eastAsia" w:ascii="仿宋_GB2312" w:hAnsi="ˎ̥" w:eastAsia="仿宋_GB2312" w:cs="Times New Roman"/>
          <w:color w:val="000000" w:themeColor="text1"/>
          <w:sz w:val="32"/>
          <w:szCs w:val="32"/>
          <w:highlight w:val="none"/>
          <w:lang w:val="en-US" w:eastAsia="zh-CN"/>
          <w14:textFill>
            <w14:solidFill>
              <w14:schemeClr w14:val="tx1"/>
            </w14:solidFill>
          </w14:textFill>
        </w:rPr>
        <w:t>12</w:t>
      </w:r>
      <w:r>
        <w:rPr>
          <w:rFonts w:hint="eastAsia" w:ascii="仿宋_GB2312" w:hAnsi="ˎ̥" w:eastAsia="仿宋_GB2312" w:cs="Times New Roman"/>
          <w:color w:val="000000" w:themeColor="text1"/>
          <w:sz w:val="32"/>
          <w:szCs w:val="32"/>
          <w:highlight w:val="none"/>
          <w14:textFill>
            <w14:solidFill>
              <w14:schemeClr w14:val="tx1"/>
            </w14:solidFill>
          </w14:textFill>
        </w:rPr>
        <w:t>平方米，其中：</w:t>
      </w:r>
      <w:r>
        <w:rPr>
          <w:rFonts w:hint="eastAsia" w:ascii="仿宋_GB2312" w:hAnsi="ˎ̥" w:eastAsia="仿宋_GB2312" w:cs="Times New Roman"/>
          <w:color w:val="000000" w:themeColor="text1"/>
          <w:sz w:val="32"/>
          <w:szCs w:val="32"/>
          <w14:textFill>
            <w14:solidFill>
              <w14:schemeClr w14:val="tx1"/>
            </w14:solidFill>
          </w14:textFill>
        </w:rPr>
        <w:t>办公用房</w:t>
      </w:r>
      <w:r>
        <w:rPr>
          <w:rFonts w:hint="eastAsia" w:ascii="仿宋_GB2312" w:hAnsi="ˎ̥" w:eastAsia="仿宋_GB2312" w:cs="Times New Roman"/>
          <w:color w:val="000000" w:themeColor="text1"/>
          <w:sz w:val="32"/>
          <w:szCs w:val="32"/>
          <w:lang w:val="en-US" w:eastAsia="zh-CN"/>
          <w14:textFill>
            <w14:solidFill>
              <w14:schemeClr w14:val="tx1"/>
            </w14:solidFill>
          </w14:textFill>
        </w:rPr>
        <w:t>0</w:t>
      </w:r>
      <w:r>
        <w:rPr>
          <w:rFonts w:hint="eastAsia" w:ascii="仿宋_GB2312" w:hAnsi="ˎ̥" w:eastAsia="仿宋_GB2312" w:cs="Times New Roman"/>
          <w:color w:val="000000" w:themeColor="text1"/>
          <w:sz w:val="32"/>
          <w:szCs w:val="32"/>
          <w14:textFill>
            <w14:solidFill>
              <w14:schemeClr w14:val="tx1"/>
            </w14:solidFill>
          </w14:textFill>
        </w:rPr>
        <w:t>平方米，业务用房</w:t>
      </w:r>
      <w:r>
        <w:rPr>
          <w:rFonts w:hint="eastAsia" w:ascii="仿宋_GB2312" w:hAnsi="ˎ̥" w:eastAsia="仿宋_GB2312" w:cs="Times New Roman"/>
          <w:color w:val="000000" w:themeColor="text1"/>
          <w:sz w:val="32"/>
          <w:szCs w:val="32"/>
          <w:lang w:val="en-US" w:eastAsia="zh-CN"/>
          <w14:textFill>
            <w14:solidFill>
              <w14:schemeClr w14:val="tx1"/>
            </w14:solidFill>
          </w14:textFill>
        </w:rPr>
        <w:t>12</w:t>
      </w:r>
      <w:r>
        <w:rPr>
          <w:rFonts w:hint="eastAsia" w:ascii="仿宋_GB2312" w:hAnsi="ˎ̥" w:eastAsia="仿宋_GB2312" w:cs="Times New Roman"/>
          <w:color w:val="000000" w:themeColor="text1"/>
          <w:sz w:val="32"/>
          <w:szCs w:val="32"/>
          <w14:textFill>
            <w14:solidFill>
              <w14:schemeClr w14:val="tx1"/>
            </w14:solidFill>
          </w14:textFill>
        </w:rPr>
        <w:t>平方米，其他（不含构筑物）0平方米。</w:t>
      </w:r>
    </w:p>
    <w:p>
      <w:pPr>
        <w:spacing w:line="578" w:lineRule="exact"/>
        <w:ind w:firstLine="640" w:firstLineChars="200"/>
        <w:rPr>
          <w:rFonts w:ascii="仿宋_GB2312" w:hAnsi="ˎ̥" w:eastAsia="仿宋_GB2312" w:cs="Times New Roman"/>
          <w:sz w:val="32"/>
          <w:szCs w:val="32"/>
        </w:rPr>
      </w:pPr>
      <w:r>
        <w:rPr>
          <w:rFonts w:hint="eastAsia" w:ascii="仿宋_GB2312" w:hAnsi="ˎ̥" w:eastAsia="仿宋_GB2312" w:cs="Times New Roman"/>
          <w:sz w:val="32"/>
          <w:szCs w:val="32"/>
        </w:rPr>
        <w:t>本部门共有车辆0辆，其中：从车辆种类说明：轿车0辆、越野车0辆、小型载客汽车0辆、大中型载客汽车辆、其他车型0辆；从车辆使用情况说明：副部（省）级及以上领导用车0辆、主要领导干部用车0辆、机要通信用车0辆、应急保障用车0辆、执法执勤用车0辆、特种专业技术用车0辆、离退休干部用车0辆、其他用车0辆。</w:t>
      </w:r>
    </w:p>
    <w:p>
      <w:pPr>
        <w:spacing w:line="578" w:lineRule="exact"/>
        <w:ind w:firstLine="640" w:firstLineChars="200"/>
        <w:rPr>
          <w:rFonts w:ascii="仿宋_GB2312" w:hAnsi="ˎ̥" w:eastAsia="仿宋_GB2312" w:cs="Times New Roman"/>
          <w:sz w:val="32"/>
          <w:szCs w:val="32"/>
        </w:rPr>
      </w:pPr>
      <w:r>
        <w:rPr>
          <w:rFonts w:hint="eastAsia" w:ascii="仿宋_GB2312" w:hAnsi="ˎ̥" w:eastAsia="仿宋_GB2312" w:cs="Times New Roman"/>
          <w:sz w:val="32"/>
          <w:szCs w:val="32"/>
        </w:rPr>
        <w:t>单位价值50万元（含）以上通用设备0台（套），单价100万元（含）以上专用设备0台（套）。</w:t>
      </w:r>
    </w:p>
    <w:p>
      <w:pPr>
        <w:spacing w:line="578" w:lineRule="exact"/>
        <w:ind w:firstLine="640" w:firstLineChars="200"/>
        <w:rPr>
          <w:rFonts w:hint="eastAsia" w:ascii="仿宋_GB2312" w:hAnsi="ˎ̥" w:eastAsia="仿宋_GB2312" w:cs="Times New Roman"/>
          <w:sz w:val="32"/>
          <w:szCs w:val="32"/>
        </w:rPr>
      </w:pPr>
      <w:r>
        <w:rPr>
          <w:rFonts w:hint="eastAsia" w:ascii="仿宋_GB2312" w:hAnsi="ˎ̥" w:eastAsia="仿宋_GB2312" w:cs="Times New Roman"/>
          <w:sz w:val="32"/>
          <w:szCs w:val="32"/>
        </w:rPr>
        <w:t>年末在建工程0万元。</w:t>
      </w:r>
    </w:p>
    <w:p>
      <w:pPr>
        <w:spacing w:line="578" w:lineRule="exact"/>
        <w:ind w:firstLine="640" w:firstLineChars="200"/>
        <w:rPr>
          <w:rFonts w:hint="eastAsia" w:ascii="仿宋_GB2312" w:hAnsi="ˎ̥" w:eastAsia="仿宋_GB2312" w:cs="Times New Roman"/>
          <w:sz w:val="32"/>
          <w:szCs w:val="32"/>
        </w:rPr>
      </w:pPr>
    </w:p>
    <w:p>
      <w:pPr>
        <w:spacing w:line="578" w:lineRule="exact"/>
        <w:ind w:firstLine="640" w:firstLineChars="200"/>
        <w:rPr>
          <w:rFonts w:hint="eastAsia" w:ascii="仿宋_GB2312" w:hAnsi="ˎ̥" w:eastAsia="仿宋_GB2312" w:cs="Times New Roman"/>
          <w:sz w:val="32"/>
          <w:szCs w:val="32"/>
        </w:rPr>
      </w:pPr>
    </w:p>
    <w:p>
      <w:pPr>
        <w:keepNext w:val="0"/>
        <w:keepLines w:val="0"/>
        <w:widowControl/>
        <w:suppressLineNumbers w:val="0"/>
        <w:autoSpaceDE w:val="0"/>
        <w:autoSpaceDN/>
        <w:spacing w:before="0" w:beforeAutospacing="0" w:after="0" w:afterAutospacing="0"/>
        <w:ind w:left="0" w:right="0"/>
        <w:jc w:val="center"/>
        <w:rPr>
          <w:rFonts w:hint="eastAsia" w:ascii="黑体" w:hAnsi="ˎ̥" w:eastAsia="黑体" w:cs="黑体"/>
          <w:kern w:val="0"/>
          <w:sz w:val="32"/>
          <w:szCs w:val="32"/>
          <w:shd w:val="clear" w:color="auto" w:fill="FFFFFF"/>
        </w:rPr>
      </w:pPr>
      <w:r>
        <w:rPr>
          <w:rFonts w:hint="eastAsia" w:ascii="黑体" w:hAnsi="宋体" w:eastAsia="黑体" w:cs="黑体"/>
          <w:kern w:val="0"/>
          <w:sz w:val="32"/>
          <w:szCs w:val="32"/>
          <w:shd w:val="clear" w:color="auto" w:fill="FFFFFF"/>
        </w:rPr>
        <w:t>第四部分</w:t>
      </w:r>
      <w:r>
        <w:rPr>
          <w:rFonts w:hint="eastAsia" w:ascii="黑体" w:hAnsi="ˎ̥" w:eastAsia="黑体" w:cs="黑体"/>
          <w:kern w:val="0"/>
          <w:sz w:val="32"/>
          <w:szCs w:val="32"/>
          <w:shd w:val="clear" w:color="auto" w:fill="FFFFFF"/>
        </w:rPr>
        <w:t xml:space="preserve">  </w:t>
      </w:r>
      <w:r>
        <w:rPr>
          <w:rFonts w:hint="eastAsia" w:ascii="黑体" w:hAnsi="宋体" w:eastAsia="黑体" w:cs="黑体"/>
          <w:kern w:val="0"/>
          <w:sz w:val="32"/>
          <w:szCs w:val="32"/>
          <w:shd w:val="clear" w:color="auto" w:fill="FFFFFF"/>
        </w:rPr>
        <w:t>名词解释</w:t>
      </w:r>
      <w:r>
        <w:rPr>
          <w:rFonts w:hint="eastAsia" w:ascii="黑体" w:hAnsi="ˎ̥" w:eastAsia="黑体" w:cs="黑体"/>
          <w:kern w:val="0"/>
          <w:sz w:val="32"/>
          <w:szCs w:val="32"/>
          <w:shd w:val="clear" w:color="auto" w:fill="FFFFFF"/>
        </w:rPr>
        <w:t xml:space="preserve"> </w:t>
      </w:r>
    </w:p>
    <w:p>
      <w:pPr>
        <w:keepNext w:val="0"/>
        <w:keepLines w:val="0"/>
        <w:widowControl/>
        <w:numPr>
          <w:ilvl w:val="0"/>
          <w:numId w:val="0"/>
        </w:numPr>
        <w:suppressLineNumbers w:val="0"/>
        <w:autoSpaceDE w:val="0"/>
        <w:autoSpaceDN/>
        <w:spacing w:before="0" w:beforeAutospacing="0" w:after="0" w:afterAutospacing="0"/>
        <w:ind w:leftChars="200" w:right="0" w:rightChars="0"/>
        <w:jc w:val="left"/>
        <w:rPr>
          <w:rFonts w:hint="default" w:ascii="仿宋_GB2312" w:hAnsi="ˎ̥" w:eastAsia="仿宋_GB2312" w:cs="仿宋_GB2312"/>
          <w:kern w:val="0"/>
          <w:sz w:val="32"/>
          <w:szCs w:val="32"/>
          <w:shd w:val="clear" w:color="auto" w:fill="FFFFFF"/>
        </w:rPr>
      </w:pPr>
      <w:r>
        <w:rPr>
          <w:rFonts w:hint="eastAsia" w:ascii="仿宋_GB2312" w:hAnsi="ˎ̥" w:eastAsia="仿宋_GB2312" w:cs="仿宋_GB2312"/>
          <w:kern w:val="0"/>
          <w:sz w:val="32"/>
          <w:szCs w:val="32"/>
          <w:shd w:val="clear" w:color="auto" w:fill="FFFFFF"/>
          <w:lang w:val="en-US" w:eastAsia="zh-CN"/>
        </w:rPr>
        <w:t>一、</w:t>
      </w:r>
      <w:r>
        <w:rPr>
          <w:rFonts w:hint="default" w:ascii="仿宋_GB2312" w:hAnsi="ˎ̥" w:eastAsia="仿宋_GB2312" w:cs="仿宋_GB2312"/>
          <w:kern w:val="0"/>
          <w:sz w:val="32"/>
          <w:szCs w:val="32"/>
          <w:shd w:val="clear" w:color="auto" w:fill="FFFFFF"/>
        </w:rPr>
        <w:t>财政拨款收入：指同级政府财政部门当年拨付的各类财政拨款。</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二、上级补助收入：指事业单位从主管部门和上级单位取得的非财政补助收入。</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三、事业收入：指事业单位开展专业业务活动及辅助活动取得的收入。</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四、经营收入：指事业单位在专业业务活动及其辅助活动之外开展非独立核算经营活动取得的收入。</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五、附属单位上缴收入：指事业单位取得附属独立核算单位根据有关规定上缴的收入。</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六、其他收入：指除上述“财政拨款收入</w:t>
      </w:r>
      <w:r>
        <w:rPr>
          <w:rFonts w:hint="default" w:ascii="ˎ̥" w:hAnsi="ˎ̥" w:eastAsia="ˎ̥" w:cs="ˎ̥"/>
          <w:kern w:val="0"/>
          <w:sz w:val="32"/>
          <w:szCs w:val="32"/>
          <w:shd w:val="clear" w:color="auto" w:fill="FFFFFF"/>
        </w:rPr>
        <w:t>”“</w:t>
      </w:r>
      <w:r>
        <w:rPr>
          <w:rFonts w:hint="default" w:ascii="仿宋_GB2312" w:hAnsi="ˎ̥" w:eastAsia="仿宋_GB2312" w:cs="仿宋_GB2312"/>
          <w:kern w:val="0"/>
          <w:sz w:val="32"/>
          <w:szCs w:val="32"/>
          <w:shd w:val="clear" w:color="auto" w:fill="FFFFFF"/>
        </w:rPr>
        <w:t>事业收入</w:t>
      </w:r>
      <w:r>
        <w:rPr>
          <w:rFonts w:hint="default" w:ascii="ˎ̥" w:hAnsi="ˎ̥" w:eastAsia="ˎ̥" w:cs="ˎ̥"/>
          <w:kern w:val="0"/>
          <w:sz w:val="32"/>
          <w:szCs w:val="32"/>
          <w:shd w:val="clear" w:color="auto" w:fill="FFFFFF"/>
        </w:rPr>
        <w:t>”“</w:t>
      </w:r>
      <w:r>
        <w:rPr>
          <w:rFonts w:hint="default" w:ascii="仿宋_GB2312" w:hAnsi="ˎ̥" w:eastAsia="仿宋_GB2312" w:cs="仿宋_GB2312"/>
          <w:kern w:val="0"/>
          <w:sz w:val="32"/>
          <w:szCs w:val="32"/>
          <w:shd w:val="clear" w:color="auto" w:fill="FFFFFF"/>
        </w:rPr>
        <w:t>上级补助收入</w:t>
      </w:r>
      <w:r>
        <w:rPr>
          <w:rFonts w:hint="default" w:ascii="ˎ̥" w:hAnsi="ˎ̥" w:eastAsia="ˎ̥" w:cs="ˎ̥"/>
          <w:kern w:val="0"/>
          <w:sz w:val="32"/>
          <w:szCs w:val="32"/>
          <w:shd w:val="clear" w:color="auto" w:fill="FFFFFF"/>
        </w:rPr>
        <w:t>”“</w:t>
      </w:r>
      <w:r>
        <w:rPr>
          <w:rFonts w:hint="default" w:ascii="仿宋_GB2312" w:hAnsi="ˎ̥" w:eastAsia="仿宋_GB2312" w:cs="仿宋_GB2312"/>
          <w:kern w:val="0"/>
          <w:sz w:val="32"/>
          <w:szCs w:val="32"/>
          <w:shd w:val="clear" w:color="auto" w:fill="FFFFFF"/>
        </w:rPr>
        <w:t>经营收入</w:t>
      </w:r>
      <w:r>
        <w:rPr>
          <w:rFonts w:hint="default" w:ascii="ˎ̥" w:hAnsi="ˎ̥" w:eastAsia="ˎ̥" w:cs="ˎ̥"/>
          <w:kern w:val="0"/>
          <w:sz w:val="32"/>
          <w:szCs w:val="32"/>
          <w:shd w:val="clear" w:color="auto" w:fill="FFFFFF"/>
        </w:rPr>
        <w:t>”“</w:t>
      </w:r>
      <w:r>
        <w:rPr>
          <w:rFonts w:hint="default" w:ascii="仿宋_GB2312" w:hAnsi="ˎ̥" w:eastAsia="仿宋_GB2312" w:cs="仿宋_GB2312"/>
          <w:kern w:val="0"/>
          <w:sz w:val="32"/>
          <w:szCs w:val="32"/>
          <w:shd w:val="clear" w:color="auto" w:fill="FFFFFF"/>
        </w:rPr>
        <w:t>附属单位上缴收入</w:t>
      </w:r>
      <w:r>
        <w:rPr>
          <w:rFonts w:hint="default" w:ascii="ˎ̥" w:hAnsi="ˎ̥" w:eastAsia="ˎ̥" w:cs="ˎ̥"/>
          <w:kern w:val="0"/>
          <w:sz w:val="32"/>
          <w:szCs w:val="32"/>
          <w:shd w:val="clear" w:color="auto" w:fill="FFFFFF"/>
        </w:rPr>
        <w:t>”</w:t>
      </w:r>
      <w:r>
        <w:rPr>
          <w:rFonts w:hint="default" w:ascii="仿宋_GB2312" w:hAnsi="ˎ̥" w:eastAsia="仿宋_GB2312" w:cs="仿宋_GB2312"/>
          <w:kern w:val="0"/>
          <w:sz w:val="32"/>
          <w:szCs w:val="32"/>
          <w:shd w:val="clear" w:color="auto" w:fill="FFFFFF"/>
        </w:rPr>
        <w:t>等以外的收入。</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七、使用非财政拨款结余：指事业单位在当年的“财政拨款收入</w:t>
      </w:r>
      <w:r>
        <w:rPr>
          <w:rFonts w:hint="default" w:ascii="ˎ̥" w:hAnsi="ˎ̥" w:eastAsia="ˎ̥" w:cs="ˎ̥"/>
          <w:kern w:val="0"/>
          <w:sz w:val="32"/>
          <w:szCs w:val="32"/>
          <w:shd w:val="clear" w:color="auto" w:fill="FFFFFF"/>
        </w:rPr>
        <w:t>”“</w:t>
      </w:r>
      <w:r>
        <w:rPr>
          <w:rFonts w:hint="default" w:ascii="仿宋_GB2312" w:hAnsi="ˎ̥" w:eastAsia="仿宋_GB2312" w:cs="仿宋_GB2312"/>
          <w:kern w:val="0"/>
          <w:sz w:val="32"/>
          <w:szCs w:val="32"/>
          <w:shd w:val="clear" w:color="auto" w:fill="FFFFFF"/>
        </w:rPr>
        <w:t>事业收入</w:t>
      </w:r>
      <w:r>
        <w:rPr>
          <w:rFonts w:hint="default" w:ascii="ˎ̥" w:hAnsi="ˎ̥" w:eastAsia="ˎ̥" w:cs="ˎ̥"/>
          <w:kern w:val="0"/>
          <w:sz w:val="32"/>
          <w:szCs w:val="32"/>
          <w:shd w:val="clear" w:color="auto" w:fill="FFFFFF"/>
        </w:rPr>
        <w:t>”“</w:t>
      </w:r>
      <w:r>
        <w:rPr>
          <w:rFonts w:hint="default" w:ascii="仿宋_GB2312" w:hAnsi="ˎ̥" w:eastAsia="仿宋_GB2312" w:cs="仿宋_GB2312"/>
          <w:kern w:val="0"/>
          <w:sz w:val="32"/>
          <w:szCs w:val="32"/>
          <w:shd w:val="clear" w:color="auto" w:fill="FFFFFF"/>
        </w:rPr>
        <w:t>经营收入</w:t>
      </w:r>
      <w:r>
        <w:rPr>
          <w:rFonts w:hint="default" w:ascii="ˎ̥" w:hAnsi="ˎ̥" w:eastAsia="ˎ̥" w:cs="ˎ̥"/>
          <w:kern w:val="0"/>
          <w:sz w:val="32"/>
          <w:szCs w:val="32"/>
          <w:shd w:val="clear" w:color="auto" w:fill="FFFFFF"/>
        </w:rPr>
        <w:t>”“</w:t>
      </w:r>
      <w:r>
        <w:rPr>
          <w:rFonts w:hint="default" w:ascii="仿宋_GB2312" w:hAnsi="ˎ̥" w:eastAsia="仿宋_GB2312" w:cs="仿宋_GB2312"/>
          <w:kern w:val="0"/>
          <w:sz w:val="32"/>
          <w:szCs w:val="32"/>
          <w:shd w:val="clear" w:color="auto" w:fill="FFFFFF"/>
        </w:rPr>
        <w:t>其他收入</w:t>
      </w:r>
      <w:r>
        <w:rPr>
          <w:rFonts w:hint="default" w:ascii="ˎ̥" w:hAnsi="ˎ̥" w:eastAsia="ˎ̥" w:cs="ˎ̥"/>
          <w:kern w:val="0"/>
          <w:sz w:val="32"/>
          <w:szCs w:val="32"/>
          <w:shd w:val="clear" w:color="auto" w:fill="FFFFFF"/>
        </w:rPr>
        <w:t>”</w:t>
      </w:r>
      <w:r>
        <w:rPr>
          <w:rFonts w:hint="default" w:ascii="仿宋_GB2312" w:hAnsi="ˎ̥" w:eastAsia="仿宋_GB2312" w:cs="仿宋_GB2312"/>
          <w:kern w:val="0"/>
          <w:sz w:val="32"/>
          <w:szCs w:val="32"/>
          <w:shd w:val="clear" w:color="auto" w:fill="FFFFFF"/>
        </w:rPr>
        <w:t>等不足以安排当年支出的情况下，使用非同级财政拨款结余资金弥补本年度收支缺口。</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八、年初结转和结余：指以前年度尚未完成、结转到本年按有关规定继续使用的资金，或项目已完成等产生的结余资金。</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九、结余分配：指事业单位缴纳企业所得税以及从非财政拨款结余或经营结余中提取各类结余的情况。</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十、年末结转和结余：指本年度或以前年度预算安排、因客观条件发生变化无法按原计划实施，需要延迟到以后年度按有关规定继续使用的资金（不包括事业单位非财政拨款结余和专用结余）。</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十一、基本支出：指为保障机构正常运转、完成日常工作任务而发生的人员支出和公用支出。</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十二、项目支出：指在基本支出之外为完成特定行政任务和事业发展目标所发生的支出。</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十三、经营支出：指事业单位在专业业务活动及其辅助活动之外开展非独立核算经营活动发生的支出。</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十四、“三公</w:t>
      </w:r>
      <w:r>
        <w:rPr>
          <w:rFonts w:hint="default" w:ascii="ˎ̥" w:hAnsi="ˎ̥" w:eastAsia="ˎ̥" w:cs="ˎ̥"/>
          <w:kern w:val="0"/>
          <w:sz w:val="32"/>
          <w:szCs w:val="32"/>
          <w:shd w:val="clear" w:color="auto" w:fill="FFFFFF"/>
        </w:rPr>
        <w:t>”</w:t>
      </w:r>
      <w:r>
        <w:rPr>
          <w:rFonts w:hint="default" w:ascii="仿宋_GB2312" w:hAnsi="ˎ̥" w:eastAsia="仿宋_GB2312" w:cs="仿宋_GB2312"/>
          <w:kern w:val="0"/>
          <w:sz w:val="32"/>
          <w:szCs w:val="32"/>
          <w:shd w:val="clear" w:color="auto" w:fill="FFFFFF"/>
        </w:rPr>
        <w:t>经费：纳入本级财政预决算管理的</w:t>
      </w:r>
      <w:r>
        <w:rPr>
          <w:rFonts w:hint="default" w:ascii="ˎ̥" w:hAnsi="ˎ̥" w:eastAsia="ˎ̥" w:cs="ˎ̥"/>
          <w:kern w:val="0"/>
          <w:sz w:val="32"/>
          <w:szCs w:val="32"/>
          <w:shd w:val="clear" w:color="auto" w:fill="FFFFFF"/>
        </w:rPr>
        <w:t>“</w:t>
      </w:r>
      <w:r>
        <w:rPr>
          <w:rFonts w:hint="default" w:ascii="仿宋_GB2312" w:hAnsi="ˎ̥" w:eastAsia="仿宋_GB2312" w:cs="仿宋_GB2312"/>
          <w:kern w:val="0"/>
          <w:sz w:val="32"/>
          <w:szCs w:val="32"/>
          <w:shd w:val="clear" w:color="auto" w:fill="FFFFFF"/>
        </w:rPr>
        <w:t>三公</w:t>
      </w:r>
      <w:r>
        <w:rPr>
          <w:rFonts w:hint="default" w:ascii="ˎ̥" w:hAnsi="ˎ̥" w:eastAsia="ˎ̥" w:cs="ˎ̥"/>
          <w:kern w:val="0"/>
          <w:sz w:val="32"/>
          <w:szCs w:val="32"/>
          <w:shd w:val="clear" w:color="auto" w:fill="FFFFFF"/>
        </w:rPr>
        <w:t>”</w:t>
      </w:r>
      <w:r>
        <w:rPr>
          <w:rFonts w:hint="default" w:ascii="仿宋_GB2312" w:hAnsi="ˎ̥" w:eastAsia="仿宋_GB2312" w:cs="仿宋_GB2312"/>
          <w:kern w:val="0"/>
          <w:sz w:val="32"/>
          <w:szCs w:val="32"/>
          <w:shd w:val="clear" w:color="auto" w:fill="FFFFFF"/>
        </w:rPr>
        <w:t>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pPr>
        <w:keepNext w:val="0"/>
        <w:keepLines w:val="0"/>
        <w:widowControl/>
        <w:suppressLineNumbers w:val="0"/>
        <w:autoSpaceDE w:val="0"/>
        <w:autoSpaceDN/>
        <w:spacing w:before="0" w:beforeAutospacing="0" w:after="0" w:afterAutospacing="0"/>
        <w:ind w:left="0" w:right="0" w:firstLine="645"/>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pPr>
        <w:keepNext w:val="0"/>
        <w:keepLines w:val="0"/>
        <w:widowControl/>
        <w:suppressLineNumbers w:val="0"/>
        <w:autoSpaceDE w:val="0"/>
        <w:autoSpaceDN/>
        <w:spacing w:before="0" w:beforeAutospacing="0" w:after="0" w:afterAutospacing="0"/>
        <w:ind w:left="0" w:right="0"/>
        <w:jc w:val="left"/>
        <w:rPr>
          <w:rFonts w:hint="eastAsia" w:ascii="宋体" w:hAnsi="宋体" w:eastAsia="宋体" w:cs="宋体"/>
          <w:kern w:val="0"/>
          <w:sz w:val="24"/>
          <w:szCs w:val="24"/>
          <w:shd w:val="clear" w:color="auto" w:fill="FFFFFF"/>
        </w:rPr>
      </w:pPr>
      <w:bookmarkStart w:id="117" w:name="_GoBack"/>
      <w:bookmarkEnd w:id="117"/>
      <w:r>
        <w:rPr>
          <w:rFonts w:hint="eastAsia" w:ascii="宋体" w:hAnsi="宋体" w:eastAsia="宋体" w:cs="宋体"/>
          <w:kern w:val="0"/>
          <w:sz w:val="24"/>
          <w:szCs w:val="24"/>
          <w:shd w:val="clear" w:color="auto" w:fill="FFFFFF"/>
        </w:rPr>
        <w:t xml:space="preserve"> </w:t>
      </w:r>
    </w:p>
    <w:p>
      <w:pPr>
        <w:ind w:firstLine="420" w:firstLineChars="200"/>
      </w:pP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A0204"/>
    <w:charset w:val="00"/>
    <w:family w:val="modern"/>
    <w:pitch w:val="default"/>
    <w:sig w:usb0="E00002FF" w:usb1="4000045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
    <w:altName w:val="Times New Roman"/>
    <w:panose1 w:val="00000000000000000000"/>
    <w:charset w:val="00"/>
    <w:family w:val="swiss"/>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3</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913692045">
    <w:nsid w:val="72109F8D"/>
    <w:multiLevelType w:val="singleLevel"/>
    <w:tmpl w:val="72109F8D"/>
    <w:lvl w:ilvl="0" w:tentative="1">
      <w:start w:val="7"/>
      <w:numFmt w:val="chineseCounting"/>
      <w:suff w:val="nothing"/>
      <w:lvlText w:val="%1、"/>
      <w:lvlJc w:val="left"/>
      <w:rPr>
        <w:rFonts w:hint="eastAsia"/>
      </w:rPr>
    </w:lvl>
  </w:abstractNum>
  <w:abstractNum w:abstractNumId="2443733572">
    <w:nsid w:val="91A86A44"/>
    <w:multiLevelType w:val="singleLevel"/>
    <w:tmpl w:val="91A86A44"/>
    <w:lvl w:ilvl="0" w:tentative="1">
      <w:start w:val="2"/>
      <w:numFmt w:val="chineseCounting"/>
      <w:suff w:val="nothing"/>
      <w:lvlText w:val="（%1）"/>
      <w:lvlJc w:val="left"/>
      <w:rPr>
        <w:rFonts w:hint="eastAsia"/>
      </w:rPr>
    </w:lvl>
  </w:abstractNum>
  <w:num w:numId="1">
    <w:abstractNumId w:val="1913692045"/>
  </w:num>
  <w:num w:numId="2">
    <w:abstractNumId w:val="244373357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lMTg2Mzc2ODUwOTliNTBlYzA5Nzg4YjYwN2FhOTUifQ=="/>
  </w:docVars>
  <w:rsids>
    <w:rsidRoot w:val="00D32ACE"/>
    <w:rsid w:val="000819F9"/>
    <w:rsid w:val="000C0FC3"/>
    <w:rsid w:val="000C3289"/>
    <w:rsid w:val="00165BA4"/>
    <w:rsid w:val="001A7613"/>
    <w:rsid w:val="001B54A0"/>
    <w:rsid w:val="002102AF"/>
    <w:rsid w:val="00240B5C"/>
    <w:rsid w:val="00243D65"/>
    <w:rsid w:val="002F2B57"/>
    <w:rsid w:val="00345463"/>
    <w:rsid w:val="003528F1"/>
    <w:rsid w:val="003F0D1A"/>
    <w:rsid w:val="00457F19"/>
    <w:rsid w:val="0047528A"/>
    <w:rsid w:val="004923AD"/>
    <w:rsid w:val="004A5298"/>
    <w:rsid w:val="004B343D"/>
    <w:rsid w:val="004D0B4C"/>
    <w:rsid w:val="00510FB7"/>
    <w:rsid w:val="00527033"/>
    <w:rsid w:val="00574D29"/>
    <w:rsid w:val="005E4604"/>
    <w:rsid w:val="005E4790"/>
    <w:rsid w:val="005E5712"/>
    <w:rsid w:val="00617E25"/>
    <w:rsid w:val="006E30C2"/>
    <w:rsid w:val="006F2EC3"/>
    <w:rsid w:val="00780C83"/>
    <w:rsid w:val="007876F5"/>
    <w:rsid w:val="00877D96"/>
    <w:rsid w:val="00880C2C"/>
    <w:rsid w:val="008D3791"/>
    <w:rsid w:val="00914ABF"/>
    <w:rsid w:val="00930AC0"/>
    <w:rsid w:val="00943DE7"/>
    <w:rsid w:val="00954A09"/>
    <w:rsid w:val="009C68E4"/>
    <w:rsid w:val="009E6620"/>
    <w:rsid w:val="00A062C9"/>
    <w:rsid w:val="00A133CD"/>
    <w:rsid w:val="00A20588"/>
    <w:rsid w:val="00A54072"/>
    <w:rsid w:val="00A92FC5"/>
    <w:rsid w:val="00AF1C32"/>
    <w:rsid w:val="00B512BF"/>
    <w:rsid w:val="00C01B66"/>
    <w:rsid w:val="00C3564D"/>
    <w:rsid w:val="00CD5803"/>
    <w:rsid w:val="00CF76E7"/>
    <w:rsid w:val="00D16F7B"/>
    <w:rsid w:val="00D30F7F"/>
    <w:rsid w:val="00D32ACE"/>
    <w:rsid w:val="00DB6ECB"/>
    <w:rsid w:val="00DD0AC5"/>
    <w:rsid w:val="00E23916"/>
    <w:rsid w:val="00EC1A2B"/>
    <w:rsid w:val="00F054C6"/>
    <w:rsid w:val="00F11B99"/>
    <w:rsid w:val="00F12AB2"/>
    <w:rsid w:val="00F93E07"/>
    <w:rsid w:val="00FC402A"/>
    <w:rsid w:val="012F55FD"/>
    <w:rsid w:val="02147E55"/>
    <w:rsid w:val="04807AAD"/>
    <w:rsid w:val="058244AF"/>
    <w:rsid w:val="05E6585C"/>
    <w:rsid w:val="088415B7"/>
    <w:rsid w:val="09531326"/>
    <w:rsid w:val="09C70460"/>
    <w:rsid w:val="0A31526B"/>
    <w:rsid w:val="0C6F2338"/>
    <w:rsid w:val="0DDA15B3"/>
    <w:rsid w:val="13C419AD"/>
    <w:rsid w:val="14D918C2"/>
    <w:rsid w:val="17124C72"/>
    <w:rsid w:val="1B08268A"/>
    <w:rsid w:val="1B084650"/>
    <w:rsid w:val="1C9D12CE"/>
    <w:rsid w:val="1D686ACF"/>
    <w:rsid w:val="1DB418AE"/>
    <w:rsid w:val="1DCB4F1E"/>
    <w:rsid w:val="1E3E4F0A"/>
    <w:rsid w:val="1F5A1F48"/>
    <w:rsid w:val="20106F09"/>
    <w:rsid w:val="20E36D41"/>
    <w:rsid w:val="210461B3"/>
    <w:rsid w:val="21371D65"/>
    <w:rsid w:val="22C20BF1"/>
    <w:rsid w:val="242B4E3C"/>
    <w:rsid w:val="2562714D"/>
    <w:rsid w:val="25BA09E5"/>
    <w:rsid w:val="26EF22FD"/>
    <w:rsid w:val="27E16118"/>
    <w:rsid w:val="28091E43"/>
    <w:rsid w:val="28EB477E"/>
    <w:rsid w:val="2AC82E3D"/>
    <w:rsid w:val="2E007A1F"/>
    <w:rsid w:val="2F441FA2"/>
    <w:rsid w:val="2F7F4E2C"/>
    <w:rsid w:val="2FD70B30"/>
    <w:rsid w:val="2FF355F6"/>
    <w:rsid w:val="30C023C7"/>
    <w:rsid w:val="319F04F9"/>
    <w:rsid w:val="32550EA6"/>
    <w:rsid w:val="32D570E6"/>
    <w:rsid w:val="34EA2D09"/>
    <w:rsid w:val="34F00005"/>
    <w:rsid w:val="357021CB"/>
    <w:rsid w:val="39AD76D2"/>
    <w:rsid w:val="3A981EFF"/>
    <w:rsid w:val="3D2370C8"/>
    <w:rsid w:val="3D9D05CF"/>
    <w:rsid w:val="42982C27"/>
    <w:rsid w:val="43F85575"/>
    <w:rsid w:val="4439397F"/>
    <w:rsid w:val="44E66991"/>
    <w:rsid w:val="44F54D66"/>
    <w:rsid w:val="46F506BE"/>
    <w:rsid w:val="4703102D"/>
    <w:rsid w:val="4705491E"/>
    <w:rsid w:val="47870662"/>
    <w:rsid w:val="49255820"/>
    <w:rsid w:val="4B652F52"/>
    <w:rsid w:val="4C920D4B"/>
    <w:rsid w:val="4EA012E1"/>
    <w:rsid w:val="50636B18"/>
    <w:rsid w:val="50F0622B"/>
    <w:rsid w:val="55CE46B5"/>
    <w:rsid w:val="55F5398B"/>
    <w:rsid w:val="55F8457D"/>
    <w:rsid w:val="58067E17"/>
    <w:rsid w:val="5814296E"/>
    <w:rsid w:val="59C82A51"/>
    <w:rsid w:val="59EC62F0"/>
    <w:rsid w:val="5A8E6A07"/>
    <w:rsid w:val="5AA2763D"/>
    <w:rsid w:val="5B461090"/>
    <w:rsid w:val="5CCB4073"/>
    <w:rsid w:val="5D200291"/>
    <w:rsid w:val="5DE34B5D"/>
    <w:rsid w:val="5EA615EA"/>
    <w:rsid w:val="5ECD1A47"/>
    <w:rsid w:val="6730746C"/>
    <w:rsid w:val="67584625"/>
    <w:rsid w:val="6A170CCD"/>
    <w:rsid w:val="6A22372A"/>
    <w:rsid w:val="6B675C3C"/>
    <w:rsid w:val="6E340F38"/>
    <w:rsid w:val="70382752"/>
    <w:rsid w:val="70AA07D0"/>
    <w:rsid w:val="719D784E"/>
    <w:rsid w:val="71EE20C6"/>
    <w:rsid w:val="720B1B57"/>
    <w:rsid w:val="722C0C7D"/>
    <w:rsid w:val="733E5273"/>
    <w:rsid w:val="74496EBF"/>
    <w:rsid w:val="750254F7"/>
    <w:rsid w:val="753F4E19"/>
    <w:rsid w:val="754D5B45"/>
    <w:rsid w:val="75621993"/>
    <w:rsid w:val="75EF7DDE"/>
    <w:rsid w:val="770D1A50"/>
    <w:rsid w:val="777C3B73"/>
    <w:rsid w:val="778E5E45"/>
    <w:rsid w:val="77D76E8D"/>
    <w:rsid w:val="77E139D3"/>
    <w:rsid w:val="780C50C4"/>
    <w:rsid w:val="79A0064C"/>
    <w:rsid w:val="7AD503D1"/>
    <w:rsid w:val="7AFC13F7"/>
    <w:rsid w:val="7B7C3913"/>
    <w:rsid w:val="7CB17BE3"/>
    <w:rsid w:val="7FF2290A"/>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 w:type="character" w:customStyle="1" w:styleId="7">
    <w:name w:val="页眉 Char"/>
    <w:basedOn w:val="4"/>
    <w:link w:val="3"/>
    <w:qFormat/>
    <w:uiPriority w:val="99"/>
    <w:rPr>
      <w:sz w:val="18"/>
      <w:szCs w:val="18"/>
    </w:rPr>
  </w:style>
  <w:style w:type="character" w:customStyle="1" w:styleId="8">
    <w:name w:val="页脚 Char"/>
    <w:basedOn w:val="4"/>
    <w:link w:val="2"/>
    <w:qFormat/>
    <w:uiPriority w:val="99"/>
    <w:rPr>
      <w:sz w:val="18"/>
      <w:szCs w:val="18"/>
    </w:rPr>
  </w:style>
  <w:style w:type="paragraph" w:customStyle="1" w:styleId="9">
    <w:name w:val="List Paragraph"/>
    <w:basedOn w:val="1"/>
    <w:qFormat/>
    <w:uiPriority w:val="34"/>
    <w:pPr>
      <w:ind w:firstLine="420" w:firstLineChars="200"/>
    </w:pPr>
  </w:style>
  <w:style w:type="paragraph" w:customStyle="1" w:styleId="10">
    <w:name w:val="列出段落1"/>
    <w:basedOn w:val="1"/>
    <w:qFormat/>
    <w:uiPriority w:val="34"/>
    <w:pPr>
      <w:ind w:firstLine="420" w:firstLineChars="200"/>
    </w:pPr>
    <w:rPr>
      <w:rFonts w:ascii="Calibri" w:hAnsi="Calibri" w:eastAsia="宋体" w:cs="黑体"/>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5094</Words>
  <Characters>5501</Characters>
  <Lines>51</Lines>
  <Paragraphs>14</Paragraphs>
  <TotalTime>0</TotalTime>
  <ScaleCrop>false</ScaleCrop>
  <LinksUpToDate>false</LinksUpToDate>
  <CharactersWithSpaces>5613</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2021-10-14T14:33:00Z</dcterms:created>
  <dc:creator>asus</dc:creator>
  <cp:lastModifiedBy>Administrator</cp:lastModifiedBy>
  <dcterms:modified xsi:type="dcterms:W3CDTF">2023-09-25T07:36:29Z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y fmtid="{D5CDD505-2E9C-101B-9397-08002B2CF9AE}" pid="3" name="ICV">
    <vt:lpwstr>5A9DC79940CC4A268044FA1622FC6580_13</vt:lpwstr>
  </property>
</Properties>
</file>