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ˎ̥" w:eastAsia="黑体" w:cs="Times New Roman"/>
          <w:sz w:val="44"/>
          <w:szCs w:val="44"/>
        </w:rPr>
      </w:pPr>
      <w:r>
        <w:rPr>
          <w:rFonts w:hint="eastAsia" w:ascii="黑体" w:hAnsi="ˎ̥" w:eastAsia="黑体" w:cs="Times New Roman"/>
          <w:sz w:val="44"/>
          <w:szCs w:val="44"/>
        </w:rPr>
        <w:t>三亚市天涯区</w:t>
      </w:r>
      <w:r>
        <w:rPr>
          <w:rFonts w:hint="eastAsia" w:ascii="黑体" w:hAnsi="ˎ̥" w:eastAsia="黑体" w:cs="Times New Roman"/>
          <w:sz w:val="44"/>
          <w:szCs w:val="44"/>
          <w:lang w:val="en-US" w:eastAsia="zh-CN"/>
        </w:rPr>
        <w:t>槟榔</w:t>
      </w:r>
      <w:r>
        <w:rPr>
          <w:rFonts w:hint="eastAsia" w:ascii="黑体" w:hAnsi="ˎ̥" w:eastAsia="黑体" w:cs="Times New Roman"/>
          <w:sz w:val="44"/>
          <w:szCs w:val="44"/>
        </w:rPr>
        <w:t>小学202</w:t>
      </w:r>
      <w:r>
        <w:rPr>
          <w:rFonts w:hint="eastAsia" w:ascii="黑体" w:hAnsi="ˎ̥" w:eastAsia="黑体" w:cs="Times New Roman"/>
          <w:sz w:val="44"/>
          <w:szCs w:val="44"/>
          <w:lang w:val="en-US" w:eastAsia="zh-CN"/>
        </w:rPr>
        <w:t>2</w:t>
      </w:r>
      <w:r>
        <w:rPr>
          <w:rFonts w:hint="eastAsia" w:ascii="黑体" w:hAnsi="ˎ̥" w:eastAsia="黑体" w:cs="Times New Roman"/>
          <w:sz w:val="44"/>
          <w:szCs w:val="44"/>
        </w:rPr>
        <w:t>年度</w:t>
      </w:r>
    </w:p>
    <w:p>
      <w:pPr>
        <w:jc w:val="center"/>
        <w:rPr>
          <w:rFonts w:ascii="黑体" w:hAnsi="ˎ̥" w:eastAsia="黑体" w:cs="Times New Roman"/>
          <w:sz w:val="44"/>
          <w:szCs w:val="44"/>
        </w:rPr>
      </w:pPr>
      <w:r>
        <w:rPr>
          <w:rFonts w:hint="eastAsia" w:ascii="黑体" w:hAnsi="ˎ̥" w:eastAsia="黑体" w:cs="Times New Roman"/>
          <w:sz w:val="44"/>
          <w:szCs w:val="44"/>
        </w:rPr>
        <w:t>部门决算公开文字说明</w:t>
      </w:r>
    </w:p>
    <w:p>
      <w:pPr>
        <w:jc w:val="center"/>
        <w:rPr>
          <w:rFonts w:ascii="黑体" w:hAnsi="ˎ̥" w:eastAsia="黑体" w:cs="Times New Roman"/>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 xml:space="preserve">目  录 </w:t>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"_Toc1704_WPSOffice_Level1" </w:instrText>
      </w:r>
      <w:r>
        <w:fldChar w:fldCharType="separate"/>
      </w:r>
      <w:r>
        <w:rPr>
          <w:rFonts w:hint="eastAsia" w:ascii="黑体" w:hAnsi="ˎ̥" w:eastAsia="黑体" w:cs="Times New Roman"/>
          <w:kern w:val="0"/>
          <w:sz w:val="32"/>
          <w:szCs w:val="32"/>
        </w:rPr>
        <w:t>第一部分  三亚市天涯区</w:t>
      </w:r>
      <w:r>
        <w:rPr>
          <w:rFonts w:hint="eastAsia" w:ascii="黑体" w:hAnsi="ˎ̥" w:eastAsia="黑体" w:cs="Times New Roman"/>
          <w:kern w:val="0"/>
          <w:sz w:val="32"/>
          <w:szCs w:val="32"/>
          <w:lang w:val="en-US" w:eastAsia="zh-CN"/>
        </w:rPr>
        <w:t>槟榔</w:t>
      </w:r>
      <w:r>
        <w:rPr>
          <w:rFonts w:hint="eastAsia" w:ascii="黑体" w:hAnsi="ˎ̥" w:eastAsia="黑体" w:cs="Times New Roman"/>
          <w:kern w:val="0"/>
          <w:sz w:val="32"/>
          <w:szCs w:val="32"/>
        </w:rPr>
        <w:t>小学部概况</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"_Toc28253_WPSOffice_Level1" </w:instrText>
      </w:r>
      <w:r>
        <w:fldChar w:fldCharType="separate"/>
      </w:r>
      <w:r>
        <w:rPr>
          <w:rFonts w:hint="eastAsia" w:ascii="黑体" w:hAnsi="ˎ̥" w:eastAsia="黑体" w:cs="Times New Roman"/>
          <w:kern w:val="0"/>
          <w:sz w:val="32"/>
          <w:szCs w:val="32"/>
        </w:rPr>
        <w:t>第二部分  三亚市天涯区</w:t>
      </w:r>
      <w:r>
        <w:rPr>
          <w:rFonts w:hint="eastAsia" w:ascii="黑体" w:hAnsi="ˎ̥" w:eastAsia="黑体" w:cs="Times New Roman"/>
          <w:kern w:val="0"/>
          <w:sz w:val="32"/>
          <w:szCs w:val="32"/>
          <w:lang w:val="en-US" w:eastAsia="zh-CN"/>
        </w:rPr>
        <w:t>槟榔</w:t>
      </w:r>
      <w:r>
        <w:rPr>
          <w:rFonts w:hint="eastAsia" w:ascii="黑体" w:hAnsi="ˎ̥" w:eastAsia="黑体" w:cs="Times New Roman"/>
          <w:kern w:val="0"/>
          <w:sz w:val="32"/>
          <w:szCs w:val="32"/>
        </w:rPr>
        <w:t>小学202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年度部门决算公开表</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Times New Roman" w:hAnsi="Times New Roman" w:eastAsia="宋体" w:cs="Times New Roman"/>
          <w:kern w:val="0"/>
          <w:sz w:val="32"/>
          <w:szCs w:val="32"/>
        </w:rPr>
        <w:t xml:space="preserve">  </w:t>
      </w:r>
      <w:r>
        <w:rPr>
          <w:rFonts w:hint="eastAsia" w:ascii="黑体" w:hAnsi="黑体" w:eastAsia="黑体" w:cs="Times New Roman"/>
          <w:kern w:val="0"/>
          <w:sz w:val="32"/>
          <w:szCs w:val="32"/>
        </w:rPr>
        <w:t>三亚市天涯区</w:t>
      </w:r>
      <w:r>
        <w:rPr>
          <w:rFonts w:hint="eastAsia" w:ascii="黑体" w:hAnsi="ˎ̥" w:eastAsia="黑体" w:cs="Times New Roman"/>
          <w:kern w:val="0"/>
          <w:sz w:val="32"/>
          <w:szCs w:val="32"/>
          <w:lang w:val="en-US" w:eastAsia="zh-CN"/>
        </w:rPr>
        <w:t>槟榔</w:t>
      </w:r>
      <w:r>
        <w:rPr>
          <w:rFonts w:hint="eastAsia" w:ascii="黑体" w:hAnsi="黑体" w:eastAsia="黑体" w:cs="Times New Roman"/>
          <w:kern w:val="0"/>
          <w:sz w:val="32"/>
          <w:szCs w:val="32"/>
        </w:rPr>
        <w:t>小学</w:t>
      </w:r>
      <w:r>
        <w:rPr>
          <w:rFonts w:hint="eastAsia" w:ascii="黑体" w:hAnsi="ˎ̥" w:eastAsia="黑体" w:cs="Times New Roman"/>
          <w:kern w:val="0"/>
          <w:sz w:val="32"/>
          <w:szCs w:val="32"/>
        </w:rPr>
        <w:t>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年度部门决算情况说明</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4</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hint="eastAsia" w:ascii="仿宋" w:hAnsi="仿宋" w:eastAsia="仿宋" w:cs="仿宋"/>
          <w:kern w:val="0"/>
          <w:sz w:val="32"/>
          <w:szCs w:val="32"/>
        </w:rPr>
        <w:tab/>
      </w:r>
      <w:r>
        <w:rPr>
          <w:rFonts w:hint="eastAsia" w:ascii="仿宋" w:hAnsi="仿宋" w:eastAsia="仿宋" w:cs="仿宋"/>
          <w:kern w:val="0"/>
          <w:sz w:val="32"/>
          <w:szCs w:val="32"/>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6</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hint="eastAsia" w:ascii="仿宋" w:hAnsi="仿宋" w:eastAsia="仿宋" w:cs="仿宋"/>
          <w:kern w:val="0"/>
          <w:sz w:val="32"/>
          <w:szCs w:val="32"/>
        </w:rPr>
        <w:tab/>
      </w:r>
      <w:r>
        <w:rPr>
          <w:rFonts w:hint="eastAsia"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8</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8</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10</w:t>
      </w:r>
    </w:p>
    <w:p>
      <w:pPr>
        <w:rPr>
          <w:rFonts w:ascii="仿宋" w:hAnsi="仿宋" w:eastAsia="仿宋" w:cs="仿宋"/>
          <w:w w:val="91"/>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10</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十三、其他重要事项情况说明</w:t>
      </w:r>
      <w:r>
        <w:rPr>
          <w:rFonts w:hint="eastAsia" w:ascii="仿宋" w:hAnsi="仿宋" w:eastAsia="仿宋" w:cs="仿宋"/>
          <w:kern w:val="0"/>
          <w:sz w:val="32"/>
          <w:szCs w:val="32"/>
        </w:rPr>
        <w:tab/>
      </w:r>
      <w:r>
        <w:rPr>
          <w:rFonts w:hint="eastAsia" w:ascii="仿宋" w:hAnsi="仿宋" w:eastAsia="仿宋" w:cs="仿宋"/>
          <w:kern w:val="0"/>
          <w:sz w:val="32"/>
          <w:szCs w:val="32"/>
        </w:rPr>
        <w:t>11</w:t>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"_Toc15425_WPSOffice_Level1" </w:instrText>
      </w:r>
      <w:r>
        <w:fldChar w:fldCharType="separate"/>
      </w:r>
      <w:r>
        <w:rPr>
          <w:rFonts w:hint="eastAsia" w:ascii="黑体" w:hAnsi="ˎ̥" w:eastAsia="黑体" w:cs="Times New Roman"/>
          <w:kern w:val="0"/>
          <w:sz w:val="32"/>
          <w:szCs w:val="32"/>
        </w:rPr>
        <w:t>第四部分  名词解释</w:t>
      </w:r>
      <w:r>
        <w:rPr>
          <w:rFonts w:ascii="Times New Roman" w:hAnsi="Times New Roman" w:eastAsia="宋体" w:cs="Times New Roman"/>
          <w:kern w:val="0"/>
          <w:sz w:val="32"/>
          <w:szCs w:val="32"/>
        </w:rPr>
        <w:tab/>
      </w:r>
      <w:bookmarkStart w:id="1" w:name="_Toc15425_WPSOffice_Level1Page"/>
      <w:r>
        <w:rPr>
          <w:rFonts w:ascii="Times New Roman" w:hAnsi="Times New Roman" w:eastAsia="宋体" w:cs="Times New Roman"/>
          <w:kern w:val="0"/>
          <w:sz w:val="32"/>
          <w:szCs w:val="32"/>
        </w:rPr>
        <w:t>1</w:t>
      </w:r>
      <w:bookmarkEnd w:id="1"/>
      <w:r>
        <w:rPr>
          <w:rFonts w:ascii="Times New Roman" w:hAnsi="Times New Roman" w:eastAsia="宋体" w:cs="Times New Roman"/>
          <w:kern w:val="0"/>
          <w:sz w:val="32"/>
          <w:szCs w:val="32"/>
        </w:rPr>
        <w:fldChar w:fldCharType="end"/>
      </w:r>
      <w:bookmarkEnd w:id="0"/>
      <w:r>
        <w:rPr>
          <w:rFonts w:hint="eastAsia" w:ascii="Times New Roman" w:hAnsi="Times New Roman" w:eastAsia="宋体" w:cs="Times New Roman"/>
          <w:kern w:val="0"/>
          <w:sz w:val="32"/>
          <w:szCs w:val="32"/>
        </w:rPr>
        <w:t>3</w:t>
      </w:r>
    </w:p>
    <w:p>
      <w:pPr>
        <w:jc w:val="left"/>
        <w:rPr>
          <w:rFonts w:ascii="黑体" w:hAnsi="黑体" w:eastAsia="黑体" w:cs="黑体"/>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楷体" w:hAnsi="楷体" w:eastAsia="楷体" w:cs="楷体"/>
          <w:sz w:val="32"/>
          <w:szCs w:val="32"/>
          <w:highlight w:val="none"/>
        </w:rPr>
      </w:pPr>
      <w:bookmarkStart w:id="2" w:name="_Toc23465_WPSOffice_Level1"/>
      <w:bookmarkStart w:id="3" w:name="_Toc1704_WPSOffice_Level1"/>
      <w:bookmarkStart w:id="4" w:name="_Toc10720_WPSOffice_Level1"/>
      <w:bookmarkStart w:id="5" w:name="_Toc22941_WPSOffice_Level1"/>
      <w:bookmarkStart w:id="6" w:name="_Toc32433_WPSOffice_Level1"/>
      <w:bookmarkStart w:id="7" w:name="_Toc10049_WPSOffice_Level1"/>
      <w:bookmarkStart w:id="8" w:name="_Toc24238_WPSOffice_Level2"/>
      <w:bookmarkStart w:id="9" w:name="_Toc26580_WPSOffice_Level2"/>
      <w:bookmarkStart w:id="10" w:name="_Toc14159_WPSOffice_Level2"/>
      <w:bookmarkStart w:id="11" w:name="_Toc20274_WPSOffice_Level2"/>
      <w:bookmarkStart w:id="12" w:name="_Toc32622_WPSOffice_Level2"/>
      <w:bookmarkStart w:id="13" w:name="_Toc20205_WPSOffice_Level2"/>
      <w:r>
        <w:rPr>
          <w:rFonts w:hint="eastAsia" w:ascii="黑体" w:hAnsi="ˎ̥" w:eastAsia="黑体" w:cs="Times New Roman"/>
          <w:sz w:val="32"/>
          <w:szCs w:val="32"/>
        </w:rPr>
        <w:t>第一部分  三亚市天涯区</w:t>
      </w:r>
      <w:r>
        <w:rPr>
          <w:rFonts w:hint="eastAsia" w:ascii="黑体" w:hAnsi="ˎ̥" w:eastAsia="黑体" w:cs="Times New Roman"/>
          <w:sz w:val="32"/>
          <w:szCs w:val="32"/>
          <w:lang w:val="en-US" w:eastAsia="zh-CN"/>
        </w:rPr>
        <w:t>槟榔</w:t>
      </w:r>
      <w:r>
        <w:rPr>
          <w:rFonts w:hint="eastAsia" w:ascii="黑体" w:hAnsi="ˎ̥" w:eastAsia="黑体" w:cs="Times New Roman"/>
          <w:sz w:val="32"/>
          <w:szCs w:val="32"/>
        </w:rPr>
        <w:t>小学部门概况</w:t>
      </w:r>
      <w:bookmarkEnd w:id="2"/>
      <w:bookmarkEnd w:id="3"/>
      <w:bookmarkEnd w:id="4"/>
      <w:bookmarkEnd w:id="5"/>
      <w:bookmarkEnd w:id="6"/>
      <w:bookmarkEnd w:id="7"/>
    </w:p>
    <w:p>
      <w:pPr>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w:t>
      </w:r>
      <w:bookmarkEnd w:id="8"/>
      <w:r>
        <w:rPr>
          <w:rFonts w:hint="eastAsia" w:ascii="黑体" w:hAnsi="黑体" w:eastAsia="黑体" w:cs="黑体"/>
          <w:color w:val="000000" w:themeColor="text1"/>
          <w:sz w:val="32"/>
          <w:szCs w:val="32"/>
          <w:highlight w:val="none"/>
          <w14:textFill>
            <w14:solidFill>
              <w14:schemeClr w14:val="tx1"/>
            </w14:solidFill>
          </w14:textFill>
        </w:rPr>
        <w:t>单位职责</w:t>
      </w:r>
      <w:bookmarkEnd w:id="9"/>
      <w:bookmarkEnd w:id="10"/>
      <w:bookmarkEnd w:id="11"/>
      <w:bookmarkEnd w:id="12"/>
      <w:bookmarkEnd w:id="13"/>
    </w:p>
    <w:p>
      <w:pPr>
        <w:pStyle w:val="10"/>
        <w:ind w:firstLineChars="0"/>
        <w:jc w:val="left"/>
        <w:rPr>
          <w:rFonts w:ascii="黑体" w:hAnsi="黑体" w:eastAsia="黑体" w:cs="仿宋_GB2312"/>
          <w:color w:val="000000" w:themeColor="text1"/>
          <w:sz w:val="32"/>
          <w:szCs w:val="32"/>
          <w:highlight w:val="none"/>
          <w14:textFill>
            <w14:solidFill>
              <w14:schemeClr w14:val="tx1"/>
            </w14:solidFill>
          </w14:textFill>
        </w:rPr>
      </w:pPr>
      <w:bookmarkStart w:id="14" w:name="_Toc17796_WPSOffice_Level2"/>
      <w:bookmarkStart w:id="15" w:name="_Toc4833_WPSOffice_Level2"/>
      <w:bookmarkStart w:id="16" w:name="_Toc24059_WPSOffice_Level2"/>
      <w:bookmarkStart w:id="17" w:name="_Toc6572_WPSOffice_Level2"/>
      <w:bookmarkStart w:id="18" w:name="_Toc24474_WPSOffice_Level2"/>
      <w:r>
        <w:rPr>
          <w:rFonts w:hint="eastAsia" w:ascii="仿宋_GB2312" w:eastAsia="仿宋_GB2312"/>
          <w:color w:val="000000" w:themeColor="text1"/>
          <w:sz w:val="32"/>
          <w:szCs w:val="32"/>
          <w:highlight w:val="none"/>
          <w:shd w:val="clear" w:color="auto" w:fill="FFFFFF"/>
          <w14:textFill>
            <w14:solidFill>
              <w14:schemeClr w14:val="tx1"/>
            </w14:solidFill>
          </w14:textFill>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二、机构设置</w:t>
      </w:r>
      <w:bookmarkEnd w:id="14"/>
      <w:bookmarkEnd w:id="15"/>
      <w:bookmarkEnd w:id="16"/>
      <w:bookmarkEnd w:id="17"/>
      <w:bookmarkEnd w:id="18"/>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bookmarkStart w:id="19" w:name="_Toc15521_WPSOffice_Level1"/>
      <w:bookmarkStart w:id="20" w:name="_Toc6234_WPSOffice_Level1"/>
      <w:bookmarkStart w:id="21" w:name="_Toc8164_WPSOffice_Level1"/>
      <w:bookmarkStart w:id="22" w:name="_Toc30690_WPSOffice_Level1"/>
      <w:bookmarkStart w:id="23" w:name="_Toc30451_WPSOffice_Level1"/>
      <w:bookmarkStart w:id="24" w:name="_Toc28253_WPSOffice_Level1"/>
      <w:bookmarkStart w:id="25" w:name="_Toc8867_WPSOffice_Level2"/>
      <w:bookmarkStart w:id="26" w:name="_Toc32695_WPSOffice_Level2"/>
      <w:bookmarkStart w:id="27" w:name="_Toc6211_WPSOffice_Level2"/>
      <w:bookmarkStart w:id="28" w:name="_Toc11518_WPSOffice_Level2"/>
      <w:bookmarkStart w:id="29" w:name="_Toc4029_WPSOffice_Level2"/>
      <w:bookmarkStart w:id="30" w:name="_Toc32472_WPSOffice_Level2"/>
      <w:r>
        <w:rPr>
          <w:rFonts w:hint="eastAsia" w:ascii="仿宋_GB2312" w:hAnsi="ˎ̥" w:eastAsia="仿宋_GB2312" w:cs="Times New Roman"/>
          <w:color w:val="000000" w:themeColor="text1"/>
          <w:sz w:val="32"/>
          <w:szCs w:val="32"/>
          <w:highlight w:val="none"/>
          <w14:textFill>
            <w14:solidFill>
              <w14:schemeClr w14:val="tx1"/>
            </w14:solidFill>
          </w14:textFill>
        </w:rPr>
        <w:t>单位内设机构即包括：</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bookmarkStart w:id="31" w:name="_Toc24421_WPSOffice_Level2"/>
      <w:bookmarkStart w:id="32" w:name="_Toc25738_WPSOffice_Level2"/>
      <w:r>
        <w:rPr>
          <w:rFonts w:hint="eastAsia" w:ascii="楷体" w:hAnsi="楷体" w:eastAsia="楷体" w:cs="楷体"/>
          <w:color w:val="000000" w:themeColor="text1"/>
          <w:sz w:val="32"/>
          <w:szCs w:val="32"/>
          <w:highlight w:val="none"/>
          <w14:textFill>
            <w14:solidFill>
              <w14:schemeClr w14:val="tx1"/>
            </w14:solidFill>
          </w14:textFill>
        </w:rPr>
        <w:t>（一）</w:t>
      </w:r>
      <w:bookmarkEnd w:id="31"/>
      <w:bookmarkEnd w:id="32"/>
      <w:r>
        <w:rPr>
          <w:rFonts w:hint="eastAsia" w:ascii="楷体" w:hAnsi="楷体" w:eastAsia="楷体" w:cs="楷体"/>
          <w:color w:val="000000" w:themeColor="text1"/>
          <w:sz w:val="32"/>
          <w:szCs w:val="32"/>
          <w:highlight w:val="none"/>
          <w14:textFill>
            <w14:solidFill>
              <w14:schemeClr w14:val="tx1"/>
            </w14:solidFill>
          </w14:textFill>
        </w:rPr>
        <w:t>校长室</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（二）办公室</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bookmarkStart w:id="33" w:name="_Toc19721_WPSOffice_Level2"/>
      <w:bookmarkStart w:id="34" w:name="_Toc4442_WPSOffice_Level2"/>
      <w:r>
        <w:rPr>
          <w:rFonts w:hint="eastAsia" w:ascii="楷体" w:hAnsi="楷体" w:eastAsia="楷体" w:cs="楷体"/>
          <w:color w:val="000000" w:themeColor="text1"/>
          <w:sz w:val="32"/>
          <w:szCs w:val="32"/>
          <w:highlight w:val="none"/>
          <w14:textFill>
            <w14:solidFill>
              <w14:schemeClr w14:val="tx1"/>
            </w14:solidFill>
          </w14:textFill>
        </w:rPr>
        <w:t>（三）</w:t>
      </w:r>
      <w:bookmarkEnd w:id="33"/>
      <w:bookmarkEnd w:id="34"/>
      <w:r>
        <w:rPr>
          <w:rFonts w:hint="eastAsia" w:ascii="楷体" w:hAnsi="楷体" w:eastAsia="楷体" w:cs="楷体"/>
          <w:color w:val="000000" w:themeColor="text1"/>
          <w:sz w:val="32"/>
          <w:szCs w:val="32"/>
          <w:highlight w:val="none"/>
          <w14:textFill>
            <w14:solidFill>
              <w14:schemeClr w14:val="tx1"/>
            </w14:solidFill>
          </w14:textFill>
        </w:rPr>
        <w:t>教导处</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（四）总务处</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（五）财务处</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（六）德育处</w:t>
      </w:r>
    </w:p>
    <w:p>
      <w:pPr>
        <w:jc w:val="center"/>
        <w:rPr>
          <w:rFonts w:ascii="黑体" w:hAnsi="ˎ̥" w:eastAsia="黑体" w:cs="Times New Roman"/>
          <w:color w:val="000000" w:themeColor="text1"/>
          <w:sz w:val="32"/>
          <w:szCs w:val="32"/>
          <w:highlight w:val="none"/>
          <w14:textFill>
            <w14:solidFill>
              <w14:schemeClr w14:val="tx1"/>
            </w14:solidFill>
          </w14:textFill>
        </w:rPr>
      </w:pPr>
      <w:r>
        <w:rPr>
          <w:rFonts w:hint="eastAsia" w:ascii="黑体" w:hAnsi="ˎ̥" w:eastAsia="黑体" w:cs="Times New Roman"/>
          <w:color w:val="000000" w:themeColor="text1"/>
          <w:sz w:val="32"/>
          <w:szCs w:val="32"/>
          <w:highlight w:val="none"/>
          <w14:textFill>
            <w14:solidFill>
              <w14:schemeClr w14:val="tx1"/>
            </w14:solidFill>
          </w14:textFill>
        </w:rPr>
        <w:t>第二部分  三亚市天涯区</w:t>
      </w:r>
      <w:r>
        <w:rPr>
          <w:rFonts w:hint="eastAsia" w:ascii="黑体" w:hAnsi="ˎ̥" w:eastAsia="黑体" w:cs="Times New Roman"/>
          <w:color w:val="000000" w:themeColor="text1"/>
          <w:sz w:val="32"/>
          <w:szCs w:val="32"/>
          <w:highlight w:val="none"/>
          <w:lang w:val="en-US" w:eastAsia="zh-CN"/>
          <w14:textFill>
            <w14:solidFill>
              <w14:schemeClr w14:val="tx1"/>
            </w14:solidFill>
          </w14:textFill>
        </w:rPr>
        <w:t>槟榔</w:t>
      </w:r>
      <w:r>
        <w:rPr>
          <w:rFonts w:hint="eastAsia" w:ascii="黑体" w:hAnsi="ˎ̥" w:eastAsia="黑体" w:cs="Times New Roman"/>
          <w:color w:val="000000" w:themeColor="text1"/>
          <w:sz w:val="32"/>
          <w:szCs w:val="32"/>
          <w:highlight w:val="none"/>
          <w14:textFill>
            <w14:solidFill>
              <w14:schemeClr w14:val="tx1"/>
            </w14:solidFill>
          </w14:textFill>
        </w:rPr>
        <w:t>小学202</w:t>
      </w:r>
      <w:r>
        <w:rPr>
          <w:rFonts w:hint="eastAsia" w:ascii="黑体" w:hAnsi="ˎ̥" w:eastAsia="黑体" w:cs="Times New Roman"/>
          <w:color w:val="000000" w:themeColor="text1"/>
          <w:sz w:val="32"/>
          <w:szCs w:val="32"/>
          <w:highlight w:val="none"/>
          <w:lang w:val="en-US" w:eastAsia="zh-CN"/>
          <w14:textFill>
            <w14:solidFill>
              <w14:schemeClr w14:val="tx1"/>
            </w14:solidFill>
          </w14:textFill>
        </w:rPr>
        <w:t>2</w:t>
      </w:r>
      <w:r>
        <w:rPr>
          <w:rFonts w:hint="eastAsia" w:ascii="黑体" w:hAnsi="ˎ̥" w:eastAsia="黑体" w:cs="Times New Roman"/>
          <w:color w:val="000000" w:themeColor="text1"/>
          <w:sz w:val="32"/>
          <w:szCs w:val="32"/>
          <w:highlight w:val="none"/>
          <w14:textFill>
            <w14:solidFill>
              <w14:schemeClr w14:val="tx1"/>
            </w14:solidFill>
          </w14:textFill>
        </w:rPr>
        <w:t>年度部门决算公开报表</w:t>
      </w:r>
      <w:bookmarkEnd w:id="19"/>
      <w:bookmarkEnd w:id="20"/>
      <w:bookmarkEnd w:id="21"/>
      <w:bookmarkEnd w:id="22"/>
      <w:bookmarkEnd w:id="23"/>
      <w:bookmarkEnd w:id="24"/>
    </w:p>
    <w:p>
      <w:pPr>
        <w:ind w:firstLine="645"/>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一、收入支出决算公开表（见正文附件）</w:t>
      </w:r>
      <w:bookmarkEnd w:id="25"/>
      <w:bookmarkEnd w:id="26"/>
      <w:bookmarkEnd w:id="27"/>
      <w:r>
        <w:rPr>
          <w:rFonts w:hint="eastAsia" w:ascii="黑体" w:hAnsi="黑体" w:eastAsia="黑体" w:cs="黑体"/>
          <w:color w:val="000000" w:themeColor="text1"/>
          <w:sz w:val="32"/>
          <w:szCs w:val="32"/>
          <w:highlight w:val="none"/>
          <w14:textFill>
            <w14:solidFill>
              <w14:schemeClr w14:val="tx1"/>
            </w14:solidFill>
          </w14:textFill>
        </w:rPr>
        <w:t>。</w:t>
      </w:r>
      <w:bookmarkEnd w:id="28"/>
      <w:bookmarkEnd w:id="29"/>
      <w:bookmarkEnd w:id="30"/>
    </w:p>
    <w:p>
      <w:pPr>
        <w:ind w:firstLine="645"/>
        <w:rPr>
          <w:rFonts w:ascii="黑体" w:hAnsi="黑体" w:eastAsia="黑体" w:cs="黑体"/>
          <w:color w:val="000000" w:themeColor="text1"/>
          <w:sz w:val="32"/>
          <w:szCs w:val="32"/>
          <w:highlight w:val="none"/>
          <w14:textFill>
            <w14:solidFill>
              <w14:schemeClr w14:val="tx1"/>
            </w14:solidFill>
          </w14:textFill>
        </w:rPr>
      </w:pPr>
      <w:bookmarkStart w:id="35" w:name="_Toc23139_WPSOffice_Level2"/>
      <w:bookmarkStart w:id="36" w:name="_Toc25608_WPSOffice_Level2"/>
      <w:bookmarkStart w:id="37" w:name="_Toc26621_WPSOffice_Level2"/>
      <w:bookmarkStart w:id="38" w:name="_Toc14349_WPSOffice_Level2"/>
      <w:bookmarkStart w:id="39" w:name="_Toc30334_WPSOffice_Level2"/>
      <w:bookmarkStart w:id="40" w:name="_Toc28622_WPSOffice_Level2"/>
      <w:r>
        <w:rPr>
          <w:rFonts w:hint="eastAsia" w:ascii="黑体" w:hAnsi="黑体" w:eastAsia="黑体" w:cs="黑体"/>
          <w:color w:val="000000" w:themeColor="text1"/>
          <w:sz w:val="32"/>
          <w:szCs w:val="32"/>
          <w:highlight w:val="none"/>
          <w14:textFill>
            <w14:solidFill>
              <w14:schemeClr w14:val="tx1"/>
            </w14:solidFill>
          </w14:textFill>
        </w:rPr>
        <w:t>二、收入决算公开表（见正文附件）</w:t>
      </w:r>
      <w:bookmarkEnd w:id="35"/>
      <w:bookmarkEnd w:id="36"/>
      <w:bookmarkEnd w:id="37"/>
      <w:r>
        <w:rPr>
          <w:rFonts w:hint="eastAsia" w:ascii="黑体" w:hAnsi="黑体" w:eastAsia="黑体" w:cs="黑体"/>
          <w:color w:val="000000" w:themeColor="text1"/>
          <w:sz w:val="32"/>
          <w:szCs w:val="32"/>
          <w:highlight w:val="none"/>
          <w14:textFill>
            <w14:solidFill>
              <w14:schemeClr w14:val="tx1"/>
            </w14:solidFill>
          </w14:textFill>
        </w:rPr>
        <w:t>。</w:t>
      </w:r>
      <w:bookmarkEnd w:id="38"/>
      <w:bookmarkEnd w:id="39"/>
      <w:bookmarkEnd w:id="40"/>
    </w:p>
    <w:p>
      <w:pPr>
        <w:ind w:firstLine="645"/>
        <w:rPr>
          <w:rFonts w:ascii="黑体" w:hAnsi="黑体" w:eastAsia="黑体" w:cs="黑体"/>
          <w:color w:val="000000" w:themeColor="text1"/>
          <w:sz w:val="32"/>
          <w:szCs w:val="32"/>
          <w:highlight w:val="none"/>
          <w14:textFill>
            <w14:solidFill>
              <w14:schemeClr w14:val="tx1"/>
            </w14:solidFill>
          </w14:textFill>
        </w:rPr>
      </w:pPr>
      <w:bookmarkStart w:id="41" w:name="_Toc17626_WPSOffice_Level2"/>
      <w:bookmarkStart w:id="42" w:name="_Toc3262_WPSOffice_Level2"/>
      <w:bookmarkStart w:id="43" w:name="_Toc17858_WPSOffice_Level2"/>
      <w:bookmarkStart w:id="44" w:name="_Toc14658_WPSOffice_Level2"/>
      <w:bookmarkStart w:id="45" w:name="_Toc13854_WPSOffice_Level2"/>
      <w:bookmarkStart w:id="46" w:name="_Toc5489_WPSOffice_Level2"/>
      <w:r>
        <w:rPr>
          <w:rFonts w:hint="eastAsia" w:ascii="黑体" w:hAnsi="黑体" w:eastAsia="黑体" w:cs="黑体"/>
          <w:color w:val="000000" w:themeColor="text1"/>
          <w:sz w:val="32"/>
          <w:szCs w:val="32"/>
          <w:highlight w:val="none"/>
          <w14:textFill>
            <w14:solidFill>
              <w14:schemeClr w14:val="tx1"/>
            </w14:solidFill>
          </w14:textFill>
        </w:rPr>
        <w:t>三、支出决算公开表（见正文附件）</w:t>
      </w:r>
      <w:bookmarkEnd w:id="41"/>
      <w:bookmarkEnd w:id="42"/>
      <w:bookmarkEnd w:id="43"/>
      <w:r>
        <w:rPr>
          <w:rFonts w:hint="eastAsia" w:ascii="黑体" w:hAnsi="黑体" w:eastAsia="黑体" w:cs="黑体"/>
          <w:color w:val="000000" w:themeColor="text1"/>
          <w:sz w:val="32"/>
          <w:szCs w:val="32"/>
          <w:highlight w:val="none"/>
          <w14:textFill>
            <w14:solidFill>
              <w14:schemeClr w14:val="tx1"/>
            </w14:solidFill>
          </w14:textFill>
        </w:rPr>
        <w:t>。</w:t>
      </w:r>
      <w:bookmarkEnd w:id="44"/>
      <w:bookmarkEnd w:id="45"/>
      <w:bookmarkEnd w:id="46"/>
    </w:p>
    <w:p>
      <w:pPr>
        <w:ind w:firstLine="645"/>
        <w:rPr>
          <w:rFonts w:ascii="黑体" w:hAnsi="黑体" w:eastAsia="黑体" w:cs="黑体"/>
          <w:color w:val="000000" w:themeColor="text1"/>
          <w:sz w:val="32"/>
          <w:szCs w:val="32"/>
          <w:highlight w:val="none"/>
          <w14:textFill>
            <w14:solidFill>
              <w14:schemeClr w14:val="tx1"/>
            </w14:solidFill>
          </w14:textFill>
        </w:rPr>
      </w:pPr>
      <w:bookmarkStart w:id="47" w:name="_Toc13701_WPSOffice_Level2"/>
      <w:bookmarkStart w:id="48" w:name="_Toc21415_WPSOffice_Level2"/>
      <w:bookmarkStart w:id="49" w:name="_Toc23591_WPSOffice_Level2"/>
      <w:bookmarkStart w:id="50" w:name="_Toc7988_WPSOffice_Level2"/>
      <w:bookmarkStart w:id="51" w:name="_Toc23493_WPSOffice_Level2"/>
      <w:bookmarkStart w:id="52" w:name="_Toc4265_WPSOffice_Level2"/>
      <w:r>
        <w:rPr>
          <w:rFonts w:hint="eastAsia" w:ascii="黑体" w:hAnsi="黑体" w:eastAsia="黑体" w:cs="黑体"/>
          <w:color w:val="000000" w:themeColor="text1"/>
          <w:sz w:val="32"/>
          <w:szCs w:val="32"/>
          <w:highlight w:val="none"/>
          <w14:textFill>
            <w14:solidFill>
              <w14:schemeClr w14:val="tx1"/>
            </w14:solidFill>
          </w14:textFill>
        </w:rPr>
        <w:t>四、财政拨款收入支出决算公开表（见正文附件）</w:t>
      </w:r>
      <w:bookmarkEnd w:id="47"/>
      <w:bookmarkEnd w:id="48"/>
      <w:bookmarkEnd w:id="49"/>
      <w:r>
        <w:rPr>
          <w:rFonts w:hint="eastAsia" w:ascii="黑体" w:hAnsi="黑体" w:eastAsia="黑体" w:cs="黑体"/>
          <w:color w:val="000000" w:themeColor="text1"/>
          <w:sz w:val="32"/>
          <w:szCs w:val="32"/>
          <w:highlight w:val="none"/>
          <w14:textFill>
            <w14:solidFill>
              <w14:schemeClr w14:val="tx1"/>
            </w14:solidFill>
          </w14:textFill>
        </w:rPr>
        <w:t>。</w:t>
      </w:r>
      <w:bookmarkEnd w:id="50"/>
      <w:bookmarkEnd w:id="51"/>
      <w:bookmarkEnd w:id="52"/>
    </w:p>
    <w:p>
      <w:pPr>
        <w:ind w:firstLine="645"/>
        <w:rPr>
          <w:rFonts w:ascii="黑体" w:hAnsi="黑体" w:eastAsia="黑体" w:cs="黑体"/>
          <w:color w:val="000000" w:themeColor="text1"/>
          <w:sz w:val="32"/>
          <w:szCs w:val="32"/>
          <w:highlight w:val="none"/>
          <w14:textFill>
            <w14:solidFill>
              <w14:schemeClr w14:val="tx1"/>
            </w14:solidFill>
          </w14:textFill>
        </w:rPr>
      </w:pPr>
      <w:bookmarkStart w:id="53" w:name="_Toc22783_WPSOffice_Level2"/>
      <w:bookmarkStart w:id="54" w:name="_Toc23829_WPSOffice_Level2"/>
      <w:bookmarkStart w:id="55" w:name="_Toc7879_WPSOffice_Level2"/>
      <w:bookmarkStart w:id="56" w:name="_Toc25166_WPSOffice_Level2"/>
      <w:bookmarkStart w:id="57" w:name="_Toc2158_WPSOffice_Level2"/>
      <w:bookmarkStart w:id="58" w:name="_Toc13516_WPSOffice_Level2"/>
      <w:r>
        <w:rPr>
          <w:rFonts w:hint="eastAsia" w:ascii="黑体" w:hAnsi="黑体" w:eastAsia="黑体" w:cs="黑体"/>
          <w:color w:val="000000" w:themeColor="text1"/>
          <w:sz w:val="32"/>
          <w:szCs w:val="32"/>
          <w:highlight w:val="none"/>
          <w14:textFill>
            <w14:solidFill>
              <w14:schemeClr w14:val="tx1"/>
            </w14:solidFill>
          </w14:textFill>
        </w:rPr>
        <w:t>五、一般公共预算财政拨款收入支出决算</w:t>
      </w:r>
      <w:bookmarkEnd w:id="53"/>
      <w:bookmarkEnd w:id="54"/>
      <w:bookmarkEnd w:id="55"/>
      <w:bookmarkEnd w:id="56"/>
      <w:r>
        <w:rPr>
          <w:rFonts w:hint="eastAsia" w:ascii="黑体" w:hAnsi="黑体" w:eastAsia="黑体" w:cs="黑体"/>
          <w:color w:val="000000" w:themeColor="text1"/>
          <w:sz w:val="32"/>
          <w:szCs w:val="32"/>
          <w:highlight w:val="none"/>
          <w14:textFill>
            <w14:solidFill>
              <w14:schemeClr w14:val="tx1"/>
            </w14:solidFill>
          </w14:textFill>
        </w:rPr>
        <w:t>公开表（见正文附件）</w:t>
      </w:r>
      <w:bookmarkEnd w:id="57"/>
      <w:bookmarkEnd w:id="58"/>
      <w:r>
        <w:rPr>
          <w:rFonts w:hint="eastAsia" w:ascii="黑体" w:hAnsi="黑体" w:eastAsia="黑体" w:cs="黑体"/>
          <w:color w:val="000000" w:themeColor="text1"/>
          <w:sz w:val="32"/>
          <w:szCs w:val="32"/>
          <w:highlight w:val="none"/>
          <w14:textFill>
            <w14:solidFill>
              <w14:schemeClr w14:val="tx1"/>
            </w14:solidFill>
          </w14:textFill>
        </w:rPr>
        <w:t>。</w:t>
      </w:r>
    </w:p>
    <w:p>
      <w:pPr>
        <w:ind w:firstLine="645"/>
        <w:rPr>
          <w:rFonts w:ascii="黑体" w:hAnsi="黑体" w:eastAsia="黑体" w:cs="黑体"/>
          <w:color w:val="000000" w:themeColor="text1"/>
          <w:sz w:val="32"/>
          <w:szCs w:val="32"/>
          <w:highlight w:val="none"/>
          <w14:textFill>
            <w14:solidFill>
              <w14:schemeClr w14:val="tx1"/>
            </w14:solidFill>
          </w14:textFill>
        </w:rPr>
      </w:pPr>
      <w:bookmarkStart w:id="59" w:name="_Toc25362_WPSOffice_Level2"/>
      <w:bookmarkStart w:id="60" w:name="_Toc8373_WPSOffice_Level2"/>
      <w:bookmarkStart w:id="61" w:name="_Toc5343_WPSOffice_Level2"/>
      <w:bookmarkStart w:id="62" w:name="_Toc17283_WPSOffice_Level2"/>
      <w:bookmarkStart w:id="63" w:name="_Toc2632_WPSOffice_Level2"/>
      <w:bookmarkStart w:id="64" w:name="_Toc17833_WPSOffice_Level2"/>
      <w:r>
        <w:rPr>
          <w:rFonts w:hint="eastAsia" w:ascii="黑体" w:hAnsi="黑体" w:eastAsia="黑体" w:cs="黑体"/>
          <w:color w:val="000000" w:themeColor="text1"/>
          <w:sz w:val="32"/>
          <w:szCs w:val="32"/>
          <w:highlight w:val="none"/>
          <w14:textFill>
            <w14:solidFill>
              <w14:schemeClr w14:val="tx1"/>
            </w14:solidFill>
          </w14:textFill>
        </w:rPr>
        <w:t>六、一般公共预算财政拨款基本支出决算</w:t>
      </w:r>
      <w:bookmarkEnd w:id="59"/>
      <w:bookmarkEnd w:id="60"/>
      <w:bookmarkEnd w:id="61"/>
      <w:bookmarkEnd w:id="62"/>
      <w:bookmarkEnd w:id="63"/>
      <w:bookmarkEnd w:id="64"/>
      <w:r>
        <w:rPr>
          <w:rFonts w:hint="eastAsia" w:ascii="黑体" w:hAnsi="黑体" w:eastAsia="黑体" w:cs="黑体"/>
          <w:color w:val="000000" w:themeColor="text1"/>
          <w:sz w:val="32"/>
          <w:szCs w:val="32"/>
          <w:highlight w:val="none"/>
          <w14:textFill>
            <w14:solidFill>
              <w14:schemeClr w14:val="tx1"/>
            </w14:solidFill>
          </w14:textFill>
        </w:rPr>
        <w:t>公开表（见正文附件）。</w:t>
      </w:r>
    </w:p>
    <w:p>
      <w:pPr>
        <w:ind w:left="1118" w:leftChars="304" w:hanging="480" w:hangingChars="150"/>
        <w:rPr>
          <w:rFonts w:ascii="黑体" w:hAnsi="黑体" w:eastAsia="黑体" w:cs="黑体"/>
          <w:color w:val="000000" w:themeColor="text1"/>
          <w:sz w:val="32"/>
          <w:szCs w:val="32"/>
          <w:highlight w:val="none"/>
          <w14:textFill>
            <w14:solidFill>
              <w14:schemeClr w14:val="tx1"/>
            </w14:solidFill>
          </w14:textFill>
        </w:rPr>
      </w:pPr>
      <w:bookmarkStart w:id="65" w:name="_Toc11799_WPSOffice_Level2"/>
      <w:bookmarkStart w:id="66" w:name="_Toc21310_WPSOffice_Level2"/>
      <w:bookmarkStart w:id="67" w:name="_Toc6020_WPSOffice_Level2"/>
      <w:bookmarkStart w:id="68" w:name="_Toc5594_WPSOffice_Level2"/>
      <w:bookmarkStart w:id="69" w:name="_Toc13345_WPSOffice_Level2"/>
      <w:bookmarkStart w:id="70" w:name="_Toc1533_WPSOffice_Level2"/>
      <w:r>
        <w:rPr>
          <w:rFonts w:hint="eastAsia" w:ascii="黑体" w:hAnsi="黑体" w:eastAsia="黑体" w:cs="黑体"/>
          <w:color w:val="000000" w:themeColor="text1"/>
          <w:sz w:val="32"/>
          <w:szCs w:val="32"/>
          <w:highlight w:val="none"/>
          <w14:textFill>
            <w14:solidFill>
              <w14:schemeClr w14:val="tx1"/>
            </w14:solidFill>
          </w14:textFill>
        </w:rPr>
        <w:t>七、政府性基金预算财政拨款收入支出决算</w:t>
      </w:r>
      <w:bookmarkEnd w:id="65"/>
      <w:bookmarkEnd w:id="66"/>
      <w:bookmarkEnd w:id="67"/>
      <w:bookmarkEnd w:id="68"/>
      <w:bookmarkEnd w:id="69"/>
      <w:bookmarkEnd w:id="70"/>
      <w:r>
        <w:rPr>
          <w:rFonts w:hint="eastAsia" w:ascii="黑体" w:hAnsi="黑体" w:eastAsia="黑体" w:cs="黑体"/>
          <w:color w:val="000000" w:themeColor="text1"/>
          <w:sz w:val="32"/>
          <w:szCs w:val="32"/>
          <w:highlight w:val="none"/>
          <w14:textFill>
            <w14:solidFill>
              <w14:schemeClr w14:val="tx1"/>
            </w14:solidFill>
          </w14:textFill>
        </w:rPr>
        <w:t>公开表（见正文附件）。</w:t>
      </w:r>
    </w:p>
    <w:p>
      <w:pPr>
        <w:ind w:left="1118" w:leftChars="304" w:hanging="480" w:hangingChars="15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八、国有资本经营预算财政拨款收入支出决算公开表</w:t>
      </w:r>
    </w:p>
    <w:p>
      <w:pP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（见正文附件）。</w:t>
      </w:r>
    </w:p>
    <w:p>
      <w:pPr>
        <w:rPr>
          <w:rFonts w:ascii="黑体" w:hAnsi="黑体" w:eastAsia="黑体" w:cs="黑体"/>
          <w:color w:val="000000" w:themeColor="text1"/>
          <w:sz w:val="32"/>
          <w:szCs w:val="32"/>
          <w:highlight w:val="none"/>
          <w14:textFill>
            <w14:solidFill>
              <w14:schemeClr w14:val="tx1"/>
            </w14:solidFill>
          </w14:textFill>
        </w:rPr>
      </w:pPr>
      <w:bookmarkStart w:id="71" w:name="_Toc9377_WPSOffice_Level2"/>
      <w:bookmarkStart w:id="72" w:name="_Toc29886_WPSOffice_Level2"/>
      <w:bookmarkStart w:id="73" w:name="_Toc1820_WPSOffice_Level2"/>
      <w:bookmarkStart w:id="74" w:name="_Toc19961_WPSOffice_Level2"/>
      <w:r>
        <w:rPr>
          <w:rFonts w:hint="eastAsia" w:ascii="黑体" w:hAnsi="黑体" w:eastAsia="黑体" w:cs="黑体"/>
          <w:color w:val="000000" w:themeColor="text1"/>
          <w:sz w:val="32"/>
          <w:szCs w:val="32"/>
          <w:highlight w:val="none"/>
          <w14:textFill>
            <w14:solidFill>
              <w14:schemeClr w14:val="tx1"/>
            </w14:solidFill>
          </w14:textFill>
        </w:rPr>
        <w:t xml:space="preserve">    九、一般公共预算财政拨款“三公”经费支出决算</w:t>
      </w:r>
      <w:bookmarkEnd w:id="71"/>
      <w:bookmarkEnd w:id="72"/>
      <w:bookmarkEnd w:id="73"/>
      <w:bookmarkEnd w:id="74"/>
      <w:r>
        <w:rPr>
          <w:rFonts w:hint="eastAsia" w:ascii="黑体" w:hAnsi="黑体" w:eastAsia="黑体" w:cs="黑体"/>
          <w:color w:val="000000" w:themeColor="text1"/>
          <w:sz w:val="32"/>
          <w:szCs w:val="32"/>
          <w:highlight w:val="none"/>
          <w14:textFill>
            <w14:solidFill>
              <w14:schemeClr w14:val="tx1"/>
            </w14:solidFill>
          </w14:textFill>
        </w:rPr>
        <w:t>公开表（见正文附件）。</w:t>
      </w:r>
    </w:p>
    <w:p>
      <w:pP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w w:val="96"/>
          <w:sz w:val="32"/>
          <w:szCs w:val="32"/>
          <w:highlight w:val="none"/>
          <w14:textFill>
            <w14:solidFill>
              <w14:schemeClr w14:val="tx1"/>
            </w14:solidFill>
          </w14:textFill>
        </w:rPr>
        <w:t xml:space="preserve">    十、政府性基金预算财政拨款“三公”经费支出决算公开表</w:t>
      </w:r>
      <w:r>
        <w:rPr>
          <w:rFonts w:hint="eastAsia" w:ascii="黑体" w:hAnsi="黑体" w:eastAsia="黑体" w:cs="黑体"/>
          <w:color w:val="000000" w:themeColor="text1"/>
          <w:sz w:val="32"/>
          <w:szCs w:val="32"/>
          <w:highlight w:val="none"/>
          <w14:textFill>
            <w14:solidFill>
              <w14:schemeClr w14:val="tx1"/>
            </w14:solidFill>
          </w14:textFill>
        </w:rPr>
        <w:t>（见正文附件）。</w:t>
      </w:r>
    </w:p>
    <w:p>
      <w:pP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w w:val="96"/>
          <w:sz w:val="32"/>
          <w:szCs w:val="32"/>
          <w:highlight w:val="none"/>
          <w14:textFill>
            <w14:solidFill>
              <w14:schemeClr w14:val="tx1"/>
            </w14:solidFill>
          </w14:textFill>
        </w:rPr>
        <w:t xml:space="preserve">    十一、国有资本经营预算财政拨款“三公”经费支出决算公开表</w:t>
      </w:r>
      <w:r>
        <w:rPr>
          <w:rFonts w:hint="eastAsia" w:ascii="黑体" w:hAnsi="黑体" w:eastAsia="黑体" w:cs="黑体"/>
          <w:color w:val="000000" w:themeColor="text1"/>
          <w:sz w:val="32"/>
          <w:szCs w:val="32"/>
          <w:highlight w:val="none"/>
          <w14:textFill>
            <w14:solidFill>
              <w14:schemeClr w14:val="tx1"/>
            </w14:solidFill>
          </w14:textFill>
        </w:rPr>
        <w:t>（见正文附件）。</w:t>
      </w:r>
    </w:p>
    <w:p>
      <w:pPr>
        <w:jc w:val="center"/>
        <w:rPr>
          <w:rFonts w:ascii="黑体" w:hAnsi="ˎ̥" w:eastAsia="黑体" w:cs="Times New Roman"/>
          <w:color w:val="000000" w:themeColor="text1"/>
          <w:sz w:val="32"/>
          <w:szCs w:val="32"/>
          <w:highlight w:val="none"/>
          <w14:textFill>
            <w14:solidFill>
              <w14:schemeClr w14:val="tx1"/>
            </w14:solidFill>
          </w14:textFill>
        </w:rPr>
      </w:pPr>
      <w:bookmarkStart w:id="75" w:name="_Toc4402_WPSOffice_Level1"/>
      <w:bookmarkStart w:id="76" w:name="_Toc28629_WPSOffice_Level1"/>
      <w:bookmarkStart w:id="77" w:name="_Toc16686_WPSOffice_Level1"/>
      <w:bookmarkStart w:id="78" w:name="_Toc29683_WPSOffice_Level1"/>
      <w:bookmarkStart w:id="79" w:name="_Toc31264_WPSOffice_Level1"/>
      <w:bookmarkStart w:id="80" w:name="_Toc27590_WPSOffice_Level1"/>
      <w:r>
        <w:rPr>
          <w:rFonts w:hint="eastAsia" w:ascii="黑体" w:hAnsi="ˎ̥" w:eastAsia="黑体" w:cs="Times New Roman"/>
          <w:color w:val="000000" w:themeColor="text1"/>
          <w:sz w:val="32"/>
          <w:szCs w:val="32"/>
          <w:highlight w:val="none"/>
          <w14:textFill>
            <w14:solidFill>
              <w14:schemeClr w14:val="tx1"/>
            </w14:solidFill>
          </w14:textFill>
        </w:rPr>
        <w:t>第三部分  三亚市天涯区</w:t>
      </w:r>
      <w:r>
        <w:rPr>
          <w:rFonts w:hint="eastAsia" w:ascii="黑体" w:hAnsi="ˎ̥" w:eastAsia="黑体" w:cs="Times New Roman"/>
          <w:color w:val="000000" w:themeColor="text1"/>
          <w:sz w:val="32"/>
          <w:szCs w:val="32"/>
          <w:highlight w:val="none"/>
          <w:lang w:val="en-US" w:eastAsia="zh-CN"/>
          <w14:textFill>
            <w14:solidFill>
              <w14:schemeClr w14:val="tx1"/>
            </w14:solidFill>
          </w14:textFill>
        </w:rPr>
        <w:t>槟榔</w:t>
      </w:r>
      <w:r>
        <w:rPr>
          <w:rFonts w:hint="eastAsia" w:ascii="黑体" w:hAnsi="ˎ̥" w:eastAsia="黑体" w:cs="Times New Roman"/>
          <w:color w:val="000000" w:themeColor="text1"/>
          <w:sz w:val="32"/>
          <w:szCs w:val="32"/>
          <w:highlight w:val="none"/>
          <w14:textFill>
            <w14:solidFill>
              <w14:schemeClr w14:val="tx1"/>
            </w14:solidFill>
          </w14:textFill>
        </w:rPr>
        <w:t>小学202</w:t>
      </w:r>
      <w:r>
        <w:rPr>
          <w:rFonts w:hint="eastAsia" w:ascii="黑体" w:hAnsi="ˎ̥" w:eastAsia="黑体" w:cs="Times New Roman"/>
          <w:color w:val="000000" w:themeColor="text1"/>
          <w:sz w:val="32"/>
          <w:szCs w:val="32"/>
          <w:highlight w:val="none"/>
          <w:lang w:val="en-US" w:eastAsia="zh-CN"/>
          <w14:textFill>
            <w14:solidFill>
              <w14:schemeClr w14:val="tx1"/>
            </w14:solidFill>
          </w14:textFill>
        </w:rPr>
        <w:t>2</w:t>
      </w:r>
      <w:r>
        <w:rPr>
          <w:rFonts w:hint="eastAsia" w:ascii="黑体" w:hAnsi="ˎ̥" w:eastAsia="黑体" w:cs="Times New Roman"/>
          <w:color w:val="000000" w:themeColor="text1"/>
          <w:sz w:val="32"/>
          <w:szCs w:val="32"/>
          <w:highlight w:val="none"/>
          <w14:textFill>
            <w14:solidFill>
              <w14:schemeClr w14:val="tx1"/>
            </w14:solidFill>
          </w14:textFill>
        </w:rPr>
        <w:t>年度部门决算情况说明</w:t>
      </w:r>
      <w:bookmarkEnd w:id="75"/>
      <w:bookmarkEnd w:id="76"/>
      <w:bookmarkEnd w:id="77"/>
      <w:bookmarkEnd w:id="78"/>
      <w:bookmarkEnd w:id="79"/>
      <w:bookmarkEnd w:id="80"/>
    </w:p>
    <w:p>
      <w:pPr>
        <w:numPr>
          <w:ilvl w:val="0"/>
          <w:numId w:val="2"/>
        </w:numPr>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收入支出决算总体情况说明</w:t>
      </w:r>
      <w:r>
        <w:rPr>
          <w:rFonts w:hint="eastAsia" w:ascii="黑体" w:hAnsi="黑体" w:eastAsia="黑体" w:cs="黑体"/>
          <w:bCs/>
          <w:color w:val="000000" w:themeColor="text1"/>
          <w:sz w:val="32"/>
          <w:szCs w:val="32"/>
          <w:highlight w:val="none"/>
          <w14:textFill>
            <w14:solidFill>
              <w14:schemeClr w14:val="tx1"/>
            </w14:solidFill>
          </w14:textFill>
        </w:rPr>
        <w:br w:type="textWrapping"/>
      </w:r>
      <w:r>
        <w:rPr>
          <w:rFonts w:hint="eastAsia" w:ascii="楷体_GB2312" w:hAnsi="ˎ̥" w:eastAsia="楷体_GB2312" w:cs="Times New Roman"/>
          <w:color w:val="000000" w:themeColor="text1"/>
          <w:sz w:val="32"/>
          <w:szCs w:val="32"/>
          <w:highlight w:val="none"/>
          <w14:textFill>
            <w14:solidFill>
              <w14:schemeClr w14:val="tx1"/>
            </w14:solidFill>
          </w14:textFill>
        </w:rPr>
        <w:t xml:space="preserve"> </w:t>
      </w:r>
      <w:r>
        <w:rPr>
          <w:rFonts w:hint="eastAsia" w:ascii="楷体_GB2312" w:hAnsi="ˎ̥" w:eastAsia="楷体_GB2312" w:cs="Times New Roman"/>
          <w:color w:val="000000" w:themeColor="text1"/>
          <w:sz w:val="32"/>
          <w:szCs w:val="32"/>
          <w:highlight w:val="none"/>
          <w:lang w:val="en-US" w:eastAsia="zh-CN"/>
          <w14:textFill>
            <w14:solidFill>
              <w14:schemeClr w14:val="tx1"/>
            </w14:solidFill>
          </w14:textFill>
        </w:rPr>
        <w:t xml:space="preserve">    </w:t>
      </w:r>
      <w:r>
        <w:rPr>
          <w:rFonts w:ascii="仿宋_GB2312" w:hAnsi="ˎ̥" w:eastAsia="仿宋_GB2312" w:cs="仿宋_GB2312"/>
          <w:color w:val="000000" w:themeColor="text1"/>
          <w:sz w:val="32"/>
          <w:szCs w:val="32"/>
          <w:highlight w:val="none"/>
          <w:lang w:val="en-US"/>
          <w14:textFill>
            <w14:solidFill>
              <w14:schemeClr w14:val="tx1"/>
            </w14:solidFill>
          </w14:textFill>
        </w:rPr>
        <w:t>202</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2</w:t>
      </w:r>
      <w:r>
        <w:rPr>
          <w:rFonts w:hint="default" w:ascii="仿宋_GB2312" w:hAnsi="ˎ̥" w:eastAsia="仿宋_GB2312" w:cs="仿宋_GB2312"/>
          <w:color w:val="000000" w:themeColor="text1"/>
          <w:sz w:val="32"/>
          <w:szCs w:val="32"/>
          <w:highlight w:val="none"/>
          <w14:textFill>
            <w14:solidFill>
              <w14:schemeClr w14:val="tx1"/>
            </w14:solidFill>
          </w14:textFill>
        </w:rPr>
        <w:t>年度收入总计</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771.16</w:t>
      </w:r>
      <w:r>
        <w:rPr>
          <w:rFonts w:hint="default" w:ascii="仿宋_GB2312" w:hAnsi="ˎ̥" w:eastAsia="仿宋_GB2312" w:cs="仿宋_GB2312"/>
          <w:color w:val="000000" w:themeColor="text1"/>
          <w:sz w:val="32"/>
          <w:szCs w:val="32"/>
          <w:highlight w:val="none"/>
          <w14:textFill>
            <w14:solidFill>
              <w14:schemeClr w14:val="tx1"/>
            </w14:solidFill>
          </w14:textFill>
        </w:rPr>
        <w:t>万元，支出总计</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771.16</w:t>
      </w:r>
      <w:r>
        <w:rPr>
          <w:rFonts w:hint="default" w:ascii="仿宋_GB2312" w:hAnsi="ˎ̥" w:eastAsia="仿宋_GB2312" w:cs="仿宋_GB2312"/>
          <w:color w:val="000000" w:themeColor="text1"/>
          <w:sz w:val="32"/>
          <w:szCs w:val="32"/>
          <w:highlight w:val="none"/>
          <w14:textFill>
            <w14:solidFill>
              <w14:schemeClr w14:val="tx1"/>
            </w14:solidFill>
          </w14:textFill>
        </w:rPr>
        <w:t>万元</w:t>
      </w:r>
      <w:r>
        <w:rPr>
          <w:rFonts w:hint="eastAsia" w:eastAsia="仿宋_GB2312"/>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14:textFill>
            <w14:solidFill>
              <w14:schemeClr w14:val="tx1"/>
            </w14:solidFill>
          </w14:textFill>
        </w:rPr>
        <w:t>，与20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年度相比，收入总计增加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22.38</w:t>
      </w:r>
      <w:r>
        <w:rPr>
          <w:rFonts w:hint="eastAsia" w:ascii="仿宋_GB2312" w:hAnsi="ˎ̥" w:eastAsia="仿宋_GB2312" w:cs="Times New Roman"/>
          <w:color w:val="000000" w:themeColor="text1"/>
          <w:sz w:val="32"/>
          <w:szCs w:val="32"/>
          <w:highlight w:val="none"/>
          <w14:textFill>
            <w14:solidFill>
              <w14:schemeClr w14:val="tx1"/>
            </w14:solidFill>
          </w14:textFill>
        </w:rPr>
        <w:t>万元，增加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2.99</w:t>
      </w:r>
      <w:r>
        <w:rPr>
          <w:rFonts w:hint="eastAsia" w:ascii="仿宋_GB2312" w:hAnsi="ˎ̥" w:eastAsia="仿宋_GB2312" w:cs="Times New Roman"/>
          <w:color w:val="000000" w:themeColor="text1"/>
          <w:sz w:val="32"/>
          <w:szCs w:val="32"/>
          <w:highlight w:val="none"/>
          <w14:textFill>
            <w14:solidFill>
              <w14:schemeClr w14:val="tx1"/>
            </w14:solidFill>
          </w14:textFill>
        </w:rPr>
        <w:t>%、支出总计增加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22.38</w:t>
      </w:r>
      <w:r>
        <w:rPr>
          <w:rFonts w:hint="eastAsia" w:ascii="仿宋_GB2312" w:hAnsi="ˎ̥" w:eastAsia="仿宋_GB2312" w:cs="Times New Roman"/>
          <w:color w:val="000000" w:themeColor="text1"/>
          <w:sz w:val="32"/>
          <w:szCs w:val="32"/>
          <w:highlight w:val="none"/>
          <w14:textFill>
            <w14:solidFill>
              <w14:schemeClr w14:val="tx1"/>
            </w14:solidFill>
          </w14:textFill>
        </w:rPr>
        <w:t>万元，增加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2.99</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ˎ̥" w:eastAsia="仿宋_GB2312" w:cs="Times New Roman"/>
          <w:color w:val="000000" w:themeColor="text1"/>
          <w:sz w:val="32"/>
          <w:szCs w:val="32"/>
          <w:highlight w:val="none"/>
          <w14:textFill>
            <w14:solidFill>
              <w14:schemeClr w14:val="tx1"/>
            </w14:solidFill>
          </w14:textFill>
        </w:rPr>
        <w:t>使用非财政拨款结余</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0.00</w:t>
      </w:r>
      <w:r>
        <w:rPr>
          <w:rFonts w:hint="eastAsia" w:ascii="仿宋_GB2312" w:hAnsi="ˎ̥" w:eastAsia="仿宋_GB2312" w:cs="Times New Roman"/>
          <w:color w:val="000000" w:themeColor="text1"/>
          <w:sz w:val="32"/>
          <w:szCs w:val="32"/>
          <w:highlight w:val="none"/>
          <w14:textFill>
            <w14:solidFill>
              <w14:schemeClr w14:val="tx1"/>
            </w14:solidFill>
          </w14:textFill>
        </w:rPr>
        <w:t>万元</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ascii="仿宋_GB2312" w:hAnsi="ˎ̥" w:eastAsia="仿宋_GB2312" w:cs="仿宋_GB2312"/>
          <w:color w:val="000000" w:themeColor="text1"/>
          <w:sz w:val="32"/>
          <w:szCs w:val="32"/>
          <w:highlight w:val="none"/>
          <w14:textFill>
            <w14:solidFill>
              <w14:schemeClr w14:val="tx1"/>
            </w14:solidFill>
          </w14:textFill>
        </w:rPr>
        <w:t>较</w:t>
      </w:r>
      <w:r>
        <w:rPr>
          <w:rFonts w:hint="default" w:ascii="仿宋_GB2312" w:hAnsi="ˎ̥" w:eastAsia="仿宋_GB2312" w:cs="仿宋_GB2312"/>
          <w:color w:val="000000" w:themeColor="text1"/>
          <w:sz w:val="32"/>
          <w:szCs w:val="32"/>
          <w:highlight w:val="none"/>
          <w:lang w:val="en-US"/>
          <w14:textFill>
            <w14:solidFill>
              <w14:schemeClr w14:val="tx1"/>
            </w14:solidFill>
          </w14:textFill>
        </w:rPr>
        <w:t>202</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ˎ̥" w:eastAsia="仿宋_GB2312" w:cs="仿宋_GB2312"/>
          <w:color w:val="000000" w:themeColor="text1"/>
          <w:sz w:val="32"/>
          <w:szCs w:val="32"/>
          <w:highlight w:val="none"/>
          <w14:textFill>
            <w14:solidFill>
              <w14:schemeClr w14:val="tx1"/>
            </w14:solidFill>
          </w14:textFill>
        </w:rPr>
        <w:t>年度决算数增加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22.38</w:t>
      </w:r>
      <w:r>
        <w:rPr>
          <w:rFonts w:hint="default" w:ascii="仿宋_GB2312" w:hAnsi="ˎ̥" w:eastAsia="仿宋_GB2312" w:cs="仿宋_GB2312"/>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14:textFill>
            <w14:solidFill>
              <w14:schemeClr w14:val="tx1"/>
            </w14:solidFill>
          </w14:textFill>
        </w:rPr>
        <w:t>主要原因：人员增加、工资福利支出增加</w:t>
      </w:r>
      <w:r>
        <w:rPr>
          <w:rFonts w:hint="eastAsia" w:ascii="仿宋_GB2312" w:hAnsi="ˎ̥" w:eastAsia="仿宋_GB2312" w:cs="Times New Roman"/>
          <w:color w:val="000000" w:themeColor="text1"/>
          <w:sz w:val="32"/>
          <w:szCs w:val="32"/>
          <w:highlight w:val="none"/>
          <w14:textFill>
            <w14:solidFill>
              <w14:schemeClr w14:val="tx1"/>
            </w14:solidFill>
          </w14:textFill>
        </w:rPr>
        <w:t>。年初结转结余</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万元，主要是财政拨款结转，与20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年度决算数</w:t>
      </w:r>
      <w:r>
        <w:rPr>
          <w:rFonts w:hint="eastAsia" w:ascii="仿宋_GB2312" w:hAnsi="ˎ̥" w:eastAsia="仿宋_GB2312"/>
          <w:color w:val="000000" w:themeColor="text1"/>
          <w:sz w:val="32"/>
          <w:szCs w:val="32"/>
          <w:highlight w:val="none"/>
          <w14:textFill>
            <w14:solidFill>
              <w14:schemeClr w14:val="tx1"/>
            </w14:solidFill>
          </w14:textFill>
        </w:rPr>
        <w:t>减少</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5.25</w:t>
      </w:r>
      <w:r>
        <w:rPr>
          <w:rFonts w:hint="eastAsia" w:ascii="仿宋_GB2312" w:hAnsi="ˎ̥" w:eastAsia="仿宋_GB2312" w:cs="Times New Roman"/>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14:textFill>
            <w14:solidFill>
              <w14:schemeClr w14:val="tx1"/>
            </w14:solidFill>
          </w14:textFill>
        </w:rPr>
        <w:t>减少</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14:textFill>
            <w14:solidFill>
              <w14:schemeClr w14:val="tx1"/>
            </w14:solidFill>
          </w14:textFill>
        </w:rPr>
        <w:t>人员增加，导致工资福利增加</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ascii="仿宋_GB2312" w:hAnsi="ˎ̥" w:eastAsia="仿宋_GB2312" w:cs="仿宋_GB2312"/>
          <w:color w:val="000000" w:themeColor="text1"/>
          <w:sz w:val="32"/>
          <w:szCs w:val="32"/>
          <w:highlight w:val="none"/>
          <w14:textFill>
            <w14:solidFill>
              <w14:schemeClr w14:val="tx1"/>
            </w14:solidFill>
          </w14:textFill>
        </w:rPr>
        <w:t>结余分配</w:t>
      </w:r>
      <w:r>
        <w:rPr>
          <w:rFonts w:hint="default" w:ascii="仿宋_GB2312" w:hAnsi="宋体" w:eastAsia="仿宋_GB2312" w:cs="仿宋_GB2312"/>
          <w:color w:val="000000" w:themeColor="text1"/>
          <w:sz w:val="32"/>
          <w:szCs w:val="32"/>
          <w:highlight w:val="none"/>
          <w:lang w:val="en-US"/>
          <w14:textFill>
            <w14:solidFill>
              <w14:schemeClr w14:val="tx1"/>
            </w14:solidFill>
          </w14:textFill>
        </w:rPr>
        <w:t>0</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.00</w:t>
      </w:r>
      <w:r>
        <w:rPr>
          <w:rFonts w:hint="default" w:ascii="仿宋_GB2312" w:hAnsi="ˎ̥" w:eastAsia="仿宋_GB2312" w:cs="仿宋_GB2312"/>
          <w:color w:val="000000" w:themeColor="text1"/>
          <w:sz w:val="32"/>
          <w:szCs w:val="32"/>
          <w:highlight w:val="none"/>
          <w14:textFill>
            <w14:solidFill>
              <w14:schemeClr w14:val="tx1"/>
            </w14:solidFill>
          </w14:textFill>
        </w:rPr>
        <w:t>万元，较</w:t>
      </w:r>
      <w:r>
        <w:rPr>
          <w:rFonts w:hint="default" w:ascii="仿宋_GB2312" w:hAnsi="ˎ̥" w:eastAsia="仿宋_GB2312" w:cs="仿宋_GB2312"/>
          <w:color w:val="000000" w:themeColor="text1"/>
          <w:sz w:val="32"/>
          <w:szCs w:val="32"/>
          <w:highlight w:val="none"/>
          <w:lang w:val="en-US"/>
          <w14:textFill>
            <w14:solidFill>
              <w14:schemeClr w14:val="tx1"/>
            </w14:solidFill>
          </w14:textFill>
        </w:rPr>
        <w:t>202</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ˎ̥" w:eastAsia="仿宋_GB2312" w:cs="仿宋_GB2312"/>
          <w:color w:val="000000" w:themeColor="text1"/>
          <w:sz w:val="32"/>
          <w:szCs w:val="32"/>
          <w:highlight w:val="none"/>
          <w14:textFill>
            <w14:solidFill>
              <w14:schemeClr w14:val="tx1"/>
            </w14:solidFill>
          </w14:textFill>
        </w:rPr>
        <w:t>年度决算数增加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0.00</w:t>
      </w:r>
      <w:r>
        <w:rPr>
          <w:rFonts w:hint="default" w:ascii="仿宋_GB2312" w:hAnsi="ˎ̥" w:eastAsia="仿宋_GB2312" w:cs="仿宋_GB2312"/>
          <w:color w:val="000000" w:themeColor="text1"/>
          <w:sz w:val="32"/>
          <w:szCs w:val="32"/>
          <w:highlight w:val="none"/>
          <w14:textFill>
            <w14:solidFill>
              <w14:schemeClr w14:val="tx1"/>
            </w14:solidFill>
          </w14:textFill>
        </w:rPr>
        <w:t>万元</w:t>
      </w:r>
      <w:r>
        <w:rPr>
          <w:rFonts w:hint="eastAsia" w:ascii="仿宋_GB2312" w:hAnsi="ˎ̥"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ˎ̥" w:eastAsia="仿宋_GB2312"/>
          <w:color w:val="000000" w:themeColor="text1"/>
          <w:sz w:val="32"/>
          <w:szCs w:val="32"/>
          <w:highlight w:val="none"/>
          <w14:textFill>
            <w14:solidFill>
              <w14:schemeClr w14:val="tx1"/>
            </w14:solidFill>
          </w14:textFill>
        </w:rPr>
        <w:t>增长持平，主要原因是无结余分配。</w:t>
      </w:r>
      <w:r>
        <w:rPr>
          <w:rFonts w:hint="eastAsia" w:ascii="仿宋_GB2312" w:hAnsi="ˎ̥" w:eastAsia="仿宋_GB2312" w:cs="Times New Roman"/>
          <w:color w:val="000000" w:themeColor="text1"/>
          <w:sz w:val="32"/>
          <w:szCs w:val="32"/>
          <w:highlight w:val="none"/>
          <w14:textFill>
            <w14:solidFill>
              <w14:schemeClr w14:val="tx1"/>
            </w14:solidFill>
          </w14:textFill>
        </w:rPr>
        <w:t>年末结转结余</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0.00</w:t>
      </w:r>
      <w:r>
        <w:rPr>
          <w:rFonts w:hint="eastAsia" w:ascii="仿宋_GB2312" w:hAnsi="ˎ̥" w:eastAsia="仿宋_GB2312" w:cs="Times New Roman"/>
          <w:color w:val="000000" w:themeColor="text1"/>
          <w:sz w:val="32"/>
          <w:szCs w:val="32"/>
          <w:highlight w:val="none"/>
          <w14:textFill>
            <w14:solidFill>
              <w14:schemeClr w14:val="tx1"/>
            </w14:solidFill>
          </w14:textFill>
        </w:rPr>
        <w:t>万元，主要是财政拨款结转，与20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年度决算数</w:t>
      </w:r>
      <w:r>
        <w:rPr>
          <w:rFonts w:hint="default" w:ascii="仿宋_GB2312" w:hAnsi="ˎ̥" w:eastAsia="仿宋_GB2312" w:cs="仿宋_GB2312"/>
          <w:color w:val="000000" w:themeColor="text1"/>
          <w:sz w:val="32"/>
          <w:szCs w:val="32"/>
          <w:highlight w:val="none"/>
          <w14:textFill>
            <w14:solidFill>
              <w14:schemeClr w14:val="tx1"/>
            </w14:solidFill>
          </w14:textFill>
        </w:rPr>
        <w:t>增加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0.00</w:t>
      </w:r>
      <w:r>
        <w:rPr>
          <w:rFonts w:hint="eastAsia" w:ascii="仿宋_GB2312" w:hAnsi="ˎ̥" w:eastAsia="仿宋_GB2312" w:cs="Times New Roman"/>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14:textFill>
            <w14:solidFill>
              <w14:schemeClr w14:val="tx1"/>
            </w14:solidFill>
          </w14:textFill>
        </w:rPr>
        <w:t>增长持平</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主要原因是</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无</w:t>
      </w:r>
      <w:r>
        <w:rPr>
          <w:rFonts w:hint="eastAsia" w:ascii="仿宋_GB2312" w:hAnsi="ˎ̥" w:eastAsia="仿宋_GB2312" w:cs="Times New Roman"/>
          <w:color w:val="000000" w:themeColor="text1"/>
          <w:sz w:val="32"/>
          <w:szCs w:val="32"/>
          <w:highlight w:val="none"/>
          <w14:textFill>
            <w14:solidFill>
              <w14:schemeClr w14:val="tx1"/>
            </w14:solidFill>
          </w14:textFill>
        </w:rPr>
        <w:t>年末结转结余</w:t>
      </w:r>
      <w:r>
        <w:rPr>
          <w:rFonts w:hint="eastAsia" w:ascii="仿宋_GB2312" w:hAnsi="??" w:eastAsia="仿宋_GB2312"/>
          <w:color w:val="000000" w:themeColor="text1"/>
          <w:sz w:val="32"/>
          <w:szCs w:val="32"/>
          <w:highlight w:val="none"/>
          <w14:textFill>
            <w14:solidFill>
              <w14:schemeClr w14:val="tx1"/>
            </w14:solidFill>
          </w14:textFill>
        </w:rPr>
        <w:t>。</w:t>
      </w:r>
    </w:p>
    <w:p>
      <w:pPr>
        <w:numPr>
          <w:ilvl w:val="0"/>
          <w:numId w:val="0"/>
        </w:num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二、收入决算情况说明</w:t>
      </w:r>
      <w:r>
        <w:rPr>
          <w:rFonts w:hint="eastAsia" w:ascii="黑体" w:hAnsi="黑体" w:eastAsia="黑体" w:cs="黑体"/>
          <w:bCs/>
          <w:color w:val="000000" w:themeColor="text1"/>
          <w:sz w:val="32"/>
          <w:szCs w:val="32"/>
          <w:highlight w:val="none"/>
          <w14:textFill>
            <w14:solidFill>
              <w14:schemeClr w14:val="tx1"/>
            </w14:solidFill>
          </w14:textFill>
        </w:rPr>
        <w:br w:type="textWrapping"/>
      </w:r>
      <w:r>
        <w:rPr>
          <w:rFonts w:hint="eastAsia" w:ascii="仿宋_GB2312" w:hAnsi="ˎ̥" w:eastAsia="仿宋_GB2312" w:cs="Times New Roman"/>
          <w:color w:val="000000" w:themeColor="text1"/>
          <w:sz w:val="32"/>
          <w:szCs w:val="32"/>
          <w:highlight w:val="none"/>
          <w14:textFill>
            <w14:solidFill>
              <w14:schemeClr w14:val="tx1"/>
            </w14:solidFill>
          </w14:textFill>
        </w:rPr>
        <w:t xml:space="preserve">    本年收入合计</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771.16</w:t>
      </w:r>
      <w:r>
        <w:rPr>
          <w:rFonts w:hint="eastAsia" w:ascii="仿宋_GB2312" w:hAnsi="ˎ̥" w:eastAsia="仿宋_GB2312" w:cs="Times New Roman"/>
          <w:color w:val="000000" w:themeColor="text1"/>
          <w:sz w:val="32"/>
          <w:szCs w:val="32"/>
          <w:highlight w:val="none"/>
          <w14:textFill>
            <w14:solidFill>
              <w14:schemeClr w14:val="tx1"/>
            </w14:solidFill>
          </w14:textFill>
        </w:rPr>
        <w:t>万元，其中：财政拨款收入</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771.16</w:t>
      </w:r>
      <w:r>
        <w:rPr>
          <w:rFonts w:hint="eastAsia" w:ascii="仿宋_GB2312" w:hAnsi="ˎ̥" w:eastAsia="仿宋_GB2312" w:cs="Times New Roman"/>
          <w:color w:val="000000" w:themeColor="text1"/>
          <w:sz w:val="32"/>
          <w:szCs w:val="32"/>
          <w:highlight w:val="none"/>
          <w14:textFill>
            <w14:solidFill>
              <w14:schemeClr w14:val="tx1"/>
            </w14:solidFill>
          </w14:textFill>
        </w:rPr>
        <w:t>万元，占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100.00</w:t>
      </w:r>
      <w:r>
        <w:rPr>
          <w:rFonts w:hint="eastAsia" w:ascii="仿宋_GB2312" w:hAnsi="ˎ̥" w:eastAsia="仿宋_GB2312" w:cs="Times New Roman"/>
          <w:color w:val="000000" w:themeColor="text1"/>
          <w:sz w:val="32"/>
          <w:szCs w:val="32"/>
          <w:highlight w:val="none"/>
          <w14:textFill>
            <w14:solidFill>
              <w14:schemeClr w14:val="tx1"/>
            </w14:solidFill>
          </w14:textFill>
        </w:rPr>
        <w:t>%；其他收入</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0.00</w:t>
      </w:r>
      <w:r>
        <w:rPr>
          <w:rFonts w:hint="eastAsia" w:ascii="仿宋_GB2312" w:hAnsi="ˎ̥" w:eastAsia="仿宋_GB2312" w:cs="Times New Roman"/>
          <w:color w:val="000000" w:themeColor="text1"/>
          <w:sz w:val="32"/>
          <w:szCs w:val="32"/>
          <w:highlight w:val="none"/>
          <w14:textFill>
            <w14:solidFill>
              <w14:schemeClr w14:val="tx1"/>
            </w14:solidFill>
          </w14:textFill>
        </w:rPr>
        <w:t>万元，占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27" w:firstLineChars="196"/>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三、支出决算情况说明</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本年支出合计</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771.16</w:t>
      </w:r>
      <w:r>
        <w:rPr>
          <w:rFonts w:hint="eastAsia" w:ascii="仿宋_GB2312" w:hAnsi="ˎ̥" w:eastAsia="仿宋_GB2312" w:cs="Times New Roman"/>
          <w:color w:val="000000" w:themeColor="text1"/>
          <w:sz w:val="32"/>
          <w:szCs w:val="32"/>
          <w:highlight w:val="none"/>
          <w14:textFill>
            <w14:solidFill>
              <w14:schemeClr w14:val="tx1"/>
            </w14:solidFill>
          </w14:textFill>
        </w:rPr>
        <w:t>万元，</w:t>
      </w:r>
      <w:r>
        <w:rPr>
          <w:rFonts w:ascii="仿宋_GB2312" w:hAnsi="ˎ̥" w:eastAsia="仿宋_GB2312" w:cs="仿宋_GB2312"/>
          <w:color w:val="000000" w:themeColor="text1"/>
          <w:sz w:val="32"/>
          <w:szCs w:val="32"/>
          <w:highlight w:val="none"/>
          <w14:textFill>
            <w14:solidFill>
              <w14:schemeClr w14:val="tx1"/>
            </w14:solidFill>
          </w14:textFill>
        </w:rPr>
        <w:t>其中：基本支出</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515.20</w:t>
      </w:r>
      <w:r>
        <w:rPr>
          <w:rFonts w:hint="default" w:ascii="仿宋_GB2312" w:hAnsi="ˎ̥" w:eastAsia="仿宋_GB2312" w:cs="仿宋_GB2312"/>
          <w:color w:val="000000" w:themeColor="text1"/>
          <w:sz w:val="32"/>
          <w:szCs w:val="32"/>
          <w:highlight w:val="none"/>
          <w14:textFill>
            <w14:solidFill>
              <w14:schemeClr w14:val="tx1"/>
            </w14:solidFill>
          </w14:textFill>
        </w:rPr>
        <w:t>万元，占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66.81</w:t>
      </w:r>
      <w:r>
        <w:rPr>
          <w:rFonts w:hint="default" w:ascii="仿宋_GB2312" w:hAnsi="ˎ̥" w:eastAsia="仿宋_GB2312" w:cs="仿宋_GB2312"/>
          <w:color w:val="000000" w:themeColor="text1"/>
          <w:sz w:val="32"/>
          <w:szCs w:val="32"/>
          <w:highlight w:val="none"/>
          <w:lang w:val="en-US"/>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；项目支出</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255.96</w:t>
      </w:r>
      <w:r>
        <w:rPr>
          <w:rFonts w:hint="default" w:ascii="仿宋_GB2312" w:hAnsi="ˎ̥" w:eastAsia="仿宋_GB2312" w:cs="仿宋_GB2312"/>
          <w:color w:val="000000" w:themeColor="text1"/>
          <w:sz w:val="32"/>
          <w:szCs w:val="32"/>
          <w:highlight w:val="none"/>
          <w14:textFill>
            <w14:solidFill>
              <w14:schemeClr w14:val="tx1"/>
            </w14:solidFill>
          </w14:textFill>
        </w:rPr>
        <w:t>万元，占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33.19</w:t>
      </w:r>
      <w:r>
        <w:rPr>
          <w:rFonts w:hint="default" w:ascii="仿宋_GB2312" w:hAnsi="ˎ̥" w:eastAsia="仿宋_GB2312" w:cs="仿宋_GB2312"/>
          <w:color w:val="000000" w:themeColor="text1"/>
          <w:sz w:val="32"/>
          <w:szCs w:val="32"/>
          <w:highlight w:val="none"/>
          <w:lang w:val="en-US"/>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；上缴上级支出</w:t>
      </w:r>
      <w:r>
        <w:rPr>
          <w:rFonts w:hint="default" w:ascii="仿宋_GB2312" w:hAnsi="ˎ̥" w:eastAsia="仿宋_GB2312" w:cs="仿宋_GB2312"/>
          <w:color w:val="000000" w:themeColor="text1"/>
          <w:sz w:val="32"/>
          <w:szCs w:val="32"/>
          <w:highlight w:val="none"/>
          <w:lang w:val="en-US"/>
          <w14:textFill>
            <w14:solidFill>
              <w14:schemeClr w14:val="tx1"/>
            </w14:solidFill>
          </w14:textFill>
        </w:rPr>
        <w:t>0.00</w:t>
      </w:r>
      <w:r>
        <w:rPr>
          <w:rFonts w:hint="default" w:ascii="仿宋_GB2312" w:hAnsi="ˎ̥" w:eastAsia="仿宋_GB2312" w:cs="仿宋_GB2312"/>
          <w:color w:val="000000" w:themeColor="text1"/>
          <w:sz w:val="32"/>
          <w:szCs w:val="32"/>
          <w:highlight w:val="none"/>
          <w14:textFill>
            <w14:solidFill>
              <w14:schemeClr w14:val="tx1"/>
            </w14:solidFill>
          </w14:textFill>
        </w:rPr>
        <w:t>万元，占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0</w:t>
      </w:r>
      <w:r>
        <w:rPr>
          <w:rFonts w:hint="default" w:ascii="仿宋_GB2312" w:hAnsi="ˎ̥" w:eastAsia="仿宋_GB2312" w:cs="仿宋_GB2312"/>
          <w:color w:val="000000" w:themeColor="text1"/>
          <w:sz w:val="32"/>
          <w:szCs w:val="32"/>
          <w:highlight w:val="none"/>
          <w:lang w:val="en-US"/>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；经营支出</w:t>
      </w:r>
      <w:r>
        <w:rPr>
          <w:rFonts w:hint="default" w:ascii="仿宋_GB2312" w:hAnsi="ˎ̥" w:eastAsia="仿宋_GB2312" w:cs="仿宋_GB2312"/>
          <w:color w:val="000000" w:themeColor="text1"/>
          <w:sz w:val="32"/>
          <w:szCs w:val="32"/>
          <w:highlight w:val="none"/>
          <w:lang w:val="en-US"/>
          <w14:textFill>
            <w14:solidFill>
              <w14:schemeClr w14:val="tx1"/>
            </w14:solidFill>
          </w14:textFill>
        </w:rPr>
        <w:t>0</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.00</w:t>
      </w:r>
      <w:r>
        <w:rPr>
          <w:rFonts w:hint="default" w:ascii="仿宋_GB2312" w:hAnsi="ˎ̥" w:eastAsia="仿宋_GB2312" w:cs="仿宋_GB2312"/>
          <w:color w:val="000000" w:themeColor="text1"/>
          <w:sz w:val="32"/>
          <w:szCs w:val="32"/>
          <w:highlight w:val="none"/>
          <w14:textFill>
            <w14:solidFill>
              <w14:schemeClr w14:val="tx1"/>
            </w14:solidFill>
          </w14:textFill>
        </w:rPr>
        <w:t>万元，占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0</w:t>
      </w:r>
      <w:r>
        <w:rPr>
          <w:rFonts w:hint="default" w:ascii="仿宋_GB2312" w:hAnsi="ˎ̥" w:eastAsia="仿宋_GB2312" w:cs="仿宋_GB2312"/>
          <w:color w:val="000000" w:themeColor="text1"/>
          <w:sz w:val="32"/>
          <w:szCs w:val="32"/>
          <w:highlight w:val="none"/>
          <w:lang w:val="en-US"/>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；对附属单位补助支出</w:t>
      </w:r>
      <w:r>
        <w:rPr>
          <w:rFonts w:hint="default" w:ascii="仿宋_GB2312" w:hAnsi="ˎ̥" w:eastAsia="仿宋_GB2312" w:cs="仿宋_GB2312"/>
          <w:color w:val="000000" w:themeColor="text1"/>
          <w:sz w:val="32"/>
          <w:szCs w:val="32"/>
          <w:highlight w:val="none"/>
          <w:lang w:val="en-US"/>
          <w14:textFill>
            <w14:solidFill>
              <w14:schemeClr w14:val="tx1"/>
            </w14:solidFill>
          </w14:textFill>
        </w:rPr>
        <w:t>0.00</w:t>
      </w:r>
      <w:r>
        <w:rPr>
          <w:rFonts w:hint="default" w:ascii="仿宋_GB2312" w:hAnsi="ˎ̥" w:eastAsia="仿宋_GB2312" w:cs="仿宋_GB2312"/>
          <w:color w:val="000000" w:themeColor="text1"/>
          <w:sz w:val="32"/>
          <w:szCs w:val="32"/>
          <w:highlight w:val="none"/>
          <w14:textFill>
            <w14:solidFill>
              <w14:schemeClr w14:val="tx1"/>
            </w14:solidFill>
          </w14:textFill>
        </w:rPr>
        <w:t>万元，占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0</w:t>
      </w:r>
      <w:r>
        <w:rPr>
          <w:rFonts w:hint="default" w:ascii="仿宋_GB2312" w:hAnsi="ˎ̥" w:eastAsia="仿宋_GB2312" w:cs="仿宋_GB2312"/>
          <w:color w:val="000000" w:themeColor="text1"/>
          <w:sz w:val="32"/>
          <w:szCs w:val="32"/>
          <w:highlight w:val="none"/>
          <w:lang w:val="en-US"/>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w:t>
      </w:r>
    </w:p>
    <w:p>
      <w:pPr>
        <w:ind w:firstLine="627" w:firstLineChars="196"/>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四、财政拨款收入支出决算总体情况说明</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ascii="仿宋_GB2312" w:hAnsi="ˎ̥" w:eastAsia="仿宋_GB2312" w:cs="仿宋_GB2312"/>
          <w:color w:val="000000" w:themeColor="text1"/>
          <w:sz w:val="32"/>
          <w:szCs w:val="32"/>
          <w:highlight w:val="none"/>
          <w:lang w:val="en-US"/>
          <w14:textFill>
            <w14:solidFill>
              <w14:schemeClr w14:val="tx1"/>
            </w14:solidFill>
          </w14:textFill>
        </w:rPr>
        <w:t>202</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2</w:t>
      </w:r>
      <w:r>
        <w:rPr>
          <w:rFonts w:hint="default" w:ascii="仿宋_GB2312" w:hAnsi="ˎ̥" w:eastAsia="仿宋_GB2312" w:cs="仿宋_GB2312"/>
          <w:color w:val="000000" w:themeColor="text1"/>
          <w:sz w:val="32"/>
          <w:szCs w:val="32"/>
          <w:highlight w:val="none"/>
          <w14:textFill>
            <w14:solidFill>
              <w14:schemeClr w14:val="tx1"/>
            </w14:solidFill>
          </w14:textFill>
        </w:rPr>
        <w:t>年度财政拨款收入总计</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771.16</w:t>
      </w:r>
      <w:r>
        <w:rPr>
          <w:rFonts w:hint="default" w:ascii="仿宋_GB2312" w:hAnsi="ˎ̥" w:eastAsia="仿宋_GB2312" w:cs="仿宋_GB2312"/>
          <w:color w:val="000000" w:themeColor="text1"/>
          <w:sz w:val="32"/>
          <w:szCs w:val="32"/>
          <w:highlight w:val="none"/>
          <w14:textFill>
            <w14:solidFill>
              <w14:schemeClr w14:val="tx1"/>
            </w14:solidFill>
          </w14:textFill>
        </w:rPr>
        <w:t>万元，支出总计</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771.16</w:t>
      </w:r>
      <w:r>
        <w:rPr>
          <w:rFonts w:hint="default" w:ascii="仿宋_GB2312" w:hAnsi="ˎ̥" w:eastAsia="仿宋_GB2312" w:cs="仿宋_GB2312"/>
          <w:color w:val="000000" w:themeColor="text1"/>
          <w:sz w:val="32"/>
          <w:szCs w:val="32"/>
          <w:highlight w:val="none"/>
          <w14:textFill>
            <w14:solidFill>
              <w14:schemeClr w14:val="tx1"/>
            </w14:solidFill>
          </w14:textFill>
        </w:rPr>
        <w:t>万元。与</w:t>
      </w:r>
      <w:r>
        <w:rPr>
          <w:rFonts w:hint="default" w:ascii="仿宋_GB2312" w:hAnsi="ˎ̥" w:eastAsia="仿宋_GB2312" w:cs="仿宋_GB2312"/>
          <w:color w:val="000000" w:themeColor="text1"/>
          <w:sz w:val="32"/>
          <w:szCs w:val="32"/>
          <w:highlight w:val="none"/>
          <w:lang w:val="en-US"/>
          <w14:textFill>
            <w14:solidFill>
              <w14:schemeClr w14:val="tx1"/>
            </w14:solidFill>
          </w14:textFill>
        </w:rPr>
        <w:t>202</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ˎ̥" w:eastAsia="仿宋_GB2312" w:cs="仿宋_GB2312"/>
          <w:color w:val="000000" w:themeColor="text1"/>
          <w:sz w:val="32"/>
          <w:szCs w:val="32"/>
          <w:highlight w:val="none"/>
          <w14:textFill>
            <w14:solidFill>
              <w14:schemeClr w14:val="tx1"/>
            </w14:solidFill>
          </w14:textFill>
        </w:rPr>
        <w:t>年度相比，财政拨款收入、支出总计各增加</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22.38</w:t>
      </w:r>
      <w:r>
        <w:rPr>
          <w:rFonts w:hint="default" w:ascii="仿宋_GB2312" w:hAnsi="ˎ̥" w:eastAsia="仿宋_GB2312" w:cs="仿宋_GB2312"/>
          <w:color w:val="000000" w:themeColor="text1"/>
          <w:sz w:val="32"/>
          <w:szCs w:val="32"/>
          <w:highlight w:val="none"/>
          <w14:textFill>
            <w14:solidFill>
              <w14:schemeClr w14:val="tx1"/>
            </w14:solidFill>
          </w14:textFill>
        </w:rPr>
        <w:t>万元，增长</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2.99</w:t>
      </w:r>
      <w:r>
        <w:rPr>
          <w:rFonts w:hint="default" w:ascii="仿宋_GB2312" w:hAnsi="ˎ̥" w:eastAsia="仿宋_GB2312" w:cs="仿宋_GB2312"/>
          <w:color w:val="000000" w:themeColor="text1"/>
          <w:sz w:val="32"/>
          <w:szCs w:val="32"/>
          <w:highlight w:val="none"/>
          <w:lang w:val="en-US"/>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。主要原因：</w:t>
      </w:r>
      <w:r>
        <w:rPr>
          <w:rFonts w:hint="eastAsia" w:ascii="仿宋_GB2312" w:hAnsi="ˎ̥" w:eastAsia="仿宋_GB2312"/>
          <w:color w:val="000000" w:themeColor="text1"/>
          <w:sz w:val="32"/>
          <w:szCs w:val="32"/>
          <w:highlight w:val="none"/>
          <w14:textFill>
            <w14:solidFill>
              <w14:schemeClr w14:val="tx1"/>
            </w14:solidFill>
          </w14:textFill>
        </w:rPr>
        <w:t>人员增加、工资福利支出增加</w:t>
      </w:r>
      <w:r>
        <w:rPr>
          <w:rFonts w:hint="eastAsia" w:ascii="仿宋_GB2312" w:hAnsi="ˎ̥" w:eastAsia="仿宋_GB2312" w:cs="Times New Roman"/>
          <w:color w:val="000000" w:themeColor="text1"/>
          <w:sz w:val="32"/>
          <w:szCs w:val="32"/>
          <w:highlight w:val="none"/>
          <w14:textFill>
            <w14:solidFill>
              <w14:schemeClr w14:val="tx1"/>
            </w14:solidFill>
          </w14:textFill>
        </w:rPr>
        <w:t>。财政拨款年初结转结余</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万元，主要是教育支出，与20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年度决算数</w:t>
      </w:r>
      <w:r>
        <w:rPr>
          <w:rFonts w:hint="eastAsia" w:ascii="仿宋_GB2312" w:hAnsi="ˎ̥" w:eastAsia="仿宋_GB2312"/>
          <w:color w:val="000000" w:themeColor="text1"/>
          <w:sz w:val="32"/>
          <w:szCs w:val="32"/>
          <w:highlight w:val="none"/>
          <w14:textFill>
            <w14:solidFill>
              <w14:schemeClr w14:val="tx1"/>
            </w14:solidFill>
          </w14:textFill>
        </w:rPr>
        <w:t>减少</w:t>
      </w:r>
      <w:r>
        <w:rPr>
          <w:rFonts w:hint="eastAsia" w:ascii="仿宋_GB2312" w:hAnsi="ˎ̥" w:eastAsia="仿宋_GB2312"/>
          <w:color w:val="000000" w:themeColor="text1"/>
          <w:sz w:val="32"/>
          <w:szCs w:val="32"/>
          <w:highlight w:val="none"/>
          <w:lang w:val="en-US" w:eastAsia="zh-CN"/>
          <w14:textFill>
            <w14:solidFill>
              <w14:schemeClr w14:val="tx1"/>
            </w14:solidFill>
          </w14:textFill>
        </w:rPr>
        <w:t>5.25</w:t>
      </w:r>
      <w:r>
        <w:rPr>
          <w:rFonts w:hint="eastAsia" w:ascii="仿宋_GB2312" w:hAnsi="ˎ̥" w:eastAsia="仿宋_GB2312" w:cs="Times New Roman"/>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14:textFill>
            <w14:solidFill>
              <w14:schemeClr w14:val="tx1"/>
            </w14:solidFill>
          </w14:textFill>
        </w:rPr>
        <w:t>减少</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14:textFill>
            <w14:solidFill>
              <w14:schemeClr w14:val="tx1"/>
            </w14:solidFill>
          </w14:textFill>
        </w:rPr>
        <w:t>人员增加，导致工资福利增加</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财政拨款年末结转结余</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万元，主要是教育支出，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与</w:t>
      </w:r>
      <w:r>
        <w:rPr>
          <w:rFonts w:hint="eastAsia" w:ascii="仿宋_GB2312" w:hAnsi="ˎ̥" w:eastAsia="仿宋_GB2312" w:cs="Times New Roman"/>
          <w:color w:val="000000" w:themeColor="text1"/>
          <w:sz w:val="32"/>
          <w:szCs w:val="32"/>
          <w:highlight w:val="none"/>
          <w14:textFill>
            <w14:solidFill>
              <w14:schemeClr w14:val="tx1"/>
            </w14:solidFill>
          </w14:textFill>
        </w:rPr>
        <w:t>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年度年末决算数</w:t>
      </w:r>
      <w:r>
        <w:rPr>
          <w:rFonts w:hint="eastAsia" w:ascii="仿宋_GB2312" w:hAnsi="ˎ̥" w:eastAsia="仿宋_GB2312"/>
          <w:color w:val="000000" w:themeColor="text1"/>
          <w:sz w:val="32"/>
          <w:szCs w:val="32"/>
          <w:highlight w:val="none"/>
          <w14:textFill>
            <w14:solidFill>
              <w14:schemeClr w14:val="tx1"/>
            </w14:solidFill>
          </w14:textFill>
        </w:rPr>
        <w:t>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0.00</w:t>
      </w:r>
      <w:r>
        <w:rPr>
          <w:rFonts w:hint="eastAsia" w:ascii="仿宋_GB2312" w:hAnsi="ˎ̥" w:eastAsia="仿宋_GB2312" w:cs="Times New Roman"/>
          <w:color w:val="000000" w:themeColor="text1"/>
          <w:sz w:val="32"/>
          <w:szCs w:val="32"/>
          <w:highlight w:val="none"/>
          <w14:textFill>
            <w14:solidFill>
              <w14:schemeClr w14:val="tx1"/>
            </w14:solidFill>
          </w14:textFill>
        </w:rPr>
        <w:t>万元，</w:t>
      </w:r>
      <w:r>
        <w:rPr>
          <w:rFonts w:hint="eastAsia" w:ascii="仿宋_GB2312" w:hAnsi="ˎ̥" w:eastAsia="仿宋_GB2312"/>
          <w:color w:val="000000" w:themeColor="text1"/>
          <w:sz w:val="32"/>
          <w:szCs w:val="32"/>
          <w:highlight w:val="none"/>
          <w14:textFill>
            <w14:solidFill>
              <w14:schemeClr w14:val="tx1"/>
            </w14:solidFill>
          </w14:textFill>
        </w:rPr>
        <w:t>增长持平</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主要原因是</w:t>
      </w:r>
      <w:r>
        <w:rPr>
          <w:rFonts w:hint="eastAsia" w:ascii="仿宋_GB2312" w:hAnsi="ˎ̥" w:eastAsia="仿宋_GB2312" w:cs="仿宋_GB2312"/>
          <w:color w:val="000000" w:themeColor="text1"/>
          <w:sz w:val="32"/>
          <w:szCs w:val="32"/>
          <w:highlight w:val="none"/>
          <w:lang w:val="en-US" w:eastAsia="zh-CN"/>
          <w14:textFill>
            <w14:solidFill>
              <w14:schemeClr w14:val="tx1"/>
            </w14:solidFill>
          </w14:textFill>
        </w:rPr>
        <w:t>无</w:t>
      </w:r>
      <w:r>
        <w:rPr>
          <w:rFonts w:hint="eastAsia" w:ascii="仿宋_GB2312" w:hAnsi="ˎ̥" w:eastAsia="仿宋_GB2312" w:cs="Times New Roman"/>
          <w:color w:val="000000" w:themeColor="text1"/>
          <w:sz w:val="32"/>
          <w:szCs w:val="32"/>
          <w:highlight w:val="none"/>
          <w14:textFill>
            <w14:solidFill>
              <w14:schemeClr w14:val="tx1"/>
            </w14:solidFill>
          </w14:textFill>
        </w:rPr>
        <w:t>年末结转结余</w:t>
      </w:r>
      <w:r>
        <w:rPr>
          <w:rFonts w:hint="eastAsia" w:ascii="仿宋_GB2312" w:hAnsi="??" w:eastAsia="仿宋_GB2312"/>
          <w:color w:val="000000" w:themeColor="text1"/>
          <w:sz w:val="32"/>
          <w:szCs w:val="32"/>
          <w:highlight w:val="none"/>
          <w14:textFill>
            <w14:solidFill>
              <w14:schemeClr w14:val="tx1"/>
            </w14:solidFill>
          </w14:textFill>
        </w:rPr>
        <w:t>。</w:t>
      </w:r>
    </w:p>
    <w:p>
      <w:pPr>
        <w:ind w:firstLine="627" w:firstLineChars="196"/>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五、一般公共预算财政拨款支出决算情况说明</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bookmarkStart w:id="81" w:name="_Toc13694_WPSOffice_Level2"/>
      <w:bookmarkStart w:id="82" w:name="_Toc17398_WPSOffice_Level2"/>
      <w:bookmarkStart w:id="83" w:name="_Toc21737_WPSOffice_Level2"/>
      <w:bookmarkStart w:id="84" w:name="_Toc9989_WPSOffice_Level2"/>
      <w:bookmarkStart w:id="85" w:name="_Toc19665_WPSOffice_Level2"/>
      <w:bookmarkStart w:id="86" w:name="_Toc23005_WPSOffice_Level2"/>
      <w:r>
        <w:rPr>
          <w:rFonts w:hint="eastAsia" w:ascii="楷体" w:hAnsi="楷体" w:eastAsia="楷体" w:cs="楷体"/>
          <w:color w:val="000000" w:themeColor="text1"/>
          <w:sz w:val="32"/>
          <w:szCs w:val="32"/>
          <w:highlight w:val="none"/>
          <w14:textFill>
            <w14:solidFill>
              <w14:schemeClr w14:val="tx1"/>
            </w14:solidFill>
          </w14:textFill>
        </w:rPr>
        <w:t>（一）一般公共预算财政拨款支出决算总体情况</w:t>
      </w:r>
      <w:bookmarkEnd w:id="81"/>
      <w:bookmarkEnd w:id="82"/>
      <w:r>
        <w:rPr>
          <w:rFonts w:hint="eastAsia" w:ascii="楷体" w:hAnsi="楷体" w:eastAsia="楷体" w:cs="楷体"/>
          <w:color w:val="000000" w:themeColor="text1"/>
          <w:sz w:val="32"/>
          <w:szCs w:val="32"/>
          <w:highlight w:val="none"/>
          <w14:textFill>
            <w14:solidFill>
              <w14:schemeClr w14:val="tx1"/>
            </w14:solidFill>
          </w14:textFill>
        </w:rPr>
        <w:t>。</w:t>
      </w:r>
      <w:bookmarkEnd w:id="83"/>
      <w:bookmarkEnd w:id="84"/>
      <w:bookmarkEnd w:id="85"/>
      <w:bookmarkEnd w:id="86"/>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年度一般公共预算财政拨款支出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771.16</w:t>
      </w:r>
      <w:r>
        <w:rPr>
          <w:rFonts w:hint="eastAsia" w:ascii="仿宋_GB2312" w:hAnsi="ˎ̥" w:eastAsia="仿宋_GB2312" w:cs="Times New Roman"/>
          <w:color w:val="000000" w:themeColor="text1"/>
          <w:sz w:val="32"/>
          <w:szCs w:val="32"/>
          <w:highlight w:val="none"/>
          <w14:textFill>
            <w14:solidFill>
              <w14:schemeClr w14:val="tx1"/>
            </w14:solidFill>
          </w14:textFill>
        </w:rPr>
        <w:t>万元，占本年支出合计的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s="Times New Roman"/>
          <w:color w:val="000000" w:themeColor="text1"/>
          <w:sz w:val="32"/>
          <w:szCs w:val="32"/>
          <w:highlight w:val="none"/>
          <w14:textFill>
            <w14:solidFill>
              <w14:schemeClr w14:val="tx1"/>
            </w14:solidFill>
          </w14:textFill>
        </w:rPr>
        <w:t>%。与20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年度相比，一般公共预算财政拨款支出增加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22.38</w:t>
      </w:r>
      <w:r>
        <w:rPr>
          <w:rFonts w:hint="eastAsia" w:ascii="仿宋_GB2312" w:hAnsi="ˎ̥" w:eastAsia="仿宋_GB2312" w:cs="Times New Roman"/>
          <w:color w:val="000000" w:themeColor="text1"/>
          <w:sz w:val="32"/>
          <w:szCs w:val="32"/>
          <w:highlight w:val="none"/>
          <w14:textFill>
            <w14:solidFill>
              <w14:schemeClr w14:val="tx1"/>
            </w14:solidFill>
          </w14:textFill>
        </w:rPr>
        <w:t>万元，增加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2.99</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default" w:ascii="仿宋_GB2312" w:hAnsi="ˎ̥" w:eastAsia="仿宋_GB2312" w:cs="仿宋_GB2312"/>
          <w:color w:val="000000" w:themeColor="text1"/>
          <w:sz w:val="32"/>
          <w:szCs w:val="32"/>
          <w:highlight w:val="none"/>
          <w14:textFill>
            <w14:solidFill>
              <w14:schemeClr w14:val="tx1"/>
            </w14:solidFill>
          </w14:textFill>
        </w:rPr>
        <w:t>主要原因是</w:t>
      </w:r>
      <w:r>
        <w:rPr>
          <w:rFonts w:hint="eastAsia" w:ascii="仿宋_GB2312" w:hAnsi="ˎ̥" w:eastAsia="仿宋_GB2312"/>
          <w:color w:val="000000" w:themeColor="text1"/>
          <w:sz w:val="32"/>
          <w:szCs w:val="32"/>
          <w:highlight w:val="none"/>
          <w14:textFill>
            <w14:solidFill>
              <w14:schemeClr w14:val="tx1"/>
            </w14:solidFill>
          </w14:textFill>
        </w:rPr>
        <w:t>人员增加、工资福利支出增加</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bookmarkStart w:id="87" w:name="_Toc2711_WPSOffice_Level2"/>
      <w:bookmarkStart w:id="88" w:name="_Toc18793_WPSOffice_Level2"/>
      <w:bookmarkStart w:id="89" w:name="_Toc23864_WPSOffice_Level2"/>
      <w:bookmarkStart w:id="90" w:name="_Toc19075_WPSOffice_Level2"/>
      <w:bookmarkStart w:id="91" w:name="_Toc27767_WPSOffice_Level2"/>
      <w:bookmarkStart w:id="92" w:name="_Toc19535_WPSOffice_Level2"/>
      <w:r>
        <w:rPr>
          <w:rFonts w:hint="eastAsia" w:ascii="楷体" w:hAnsi="楷体" w:eastAsia="楷体" w:cs="楷体"/>
          <w:color w:val="000000" w:themeColor="text1"/>
          <w:sz w:val="32"/>
          <w:szCs w:val="32"/>
          <w:highlight w:val="none"/>
          <w14:textFill>
            <w14:solidFill>
              <w14:schemeClr w14:val="tx1"/>
            </w14:solidFill>
          </w14:textFill>
        </w:rPr>
        <w:t>（二）一般公共预算财政拨款支出决算结构情况</w:t>
      </w:r>
      <w:bookmarkEnd w:id="87"/>
      <w:bookmarkEnd w:id="88"/>
      <w:r>
        <w:rPr>
          <w:rFonts w:hint="eastAsia" w:ascii="楷体" w:hAnsi="楷体" w:eastAsia="楷体" w:cs="楷体"/>
          <w:color w:val="000000" w:themeColor="text1"/>
          <w:sz w:val="32"/>
          <w:szCs w:val="32"/>
          <w:highlight w:val="none"/>
          <w14:textFill>
            <w14:solidFill>
              <w14:schemeClr w14:val="tx1"/>
            </w14:solidFill>
          </w14:textFill>
        </w:rPr>
        <w:t>。</w:t>
      </w:r>
      <w:bookmarkEnd w:id="89"/>
      <w:bookmarkEnd w:id="90"/>
      <w:bookmarkEnd w:id="91"/>
      <w:bookmarkEnd w:id="92"/>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年度一般公共预算财政拨款支出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771.16</w:t>
      </w:r>
      <w:r>
        <w:rPr>
          <w:rFonts w:hint="eastAsia" w:ascii="仿宋_GB2312" w:hAnsi="ˎ̥" w:eastAsia="仿宋_GB2312" w:cs="Times New Roman"/>
          <w:color w:val="000000" w:themeColor="text1"/>
          <w:sz w:val="32"/>
          <w:szCs w:val="32"/>
          <w:highlight w:val="none"/>
          <w14:textFill>
            <w14:solidFill>
              <w14:schemeClr w14:val="tx1"/>
            </w14:solidFill>
          </w14:textFill>
        </w:rPr>
        <w:t>万元，主要用于以下方面：</w:t>
      </w:r>
      <w:r>
        <w:rPr>
          <w:rFonts w:hint="eastAsia" w:ascii="仿宋_GB2312" w:hAnsi="ˎ̥" w:eastAsia="仿宋_GB2312" w:cs="Times New Roman"/>
          <w:b/>
          <w:color w:val="000000" w:themeColor="text1"/>
          <w:sz w:val="32"/>
          <w:szCs w:val="32"/>
          <w:highlight w:val="none"/>
          <w14:textFill>
            <w14:solidFill>
              <w14:schemeClr w14:val="tx1"/>
            </w14:solidFill>
          </w14:textFill>
        </w:rPr>
        <w:t>教育（类）</w:t>
      </w:r>
      <w:r>
        <w:rPr>
          <w:rFonts w:hint="eastAsia" w:ascii="仿宋_GB2312" w:hAnsi="ˎ̥" w:eastAsia="仿宋_GB2312" w:cs="Times New Roman"/>
          <w:color w:val="000000" w:themeColor="text1"/>
          <w:sz w:val="32"/>
          <w:szCs w:val="32"/>
          <w:highlight w:val="none"/>
          <w14:textFill>
            <w14:solidFill>
              <w14:schemeClr w14:val="tx1"/>
            </w14:solidFill>
          </w14:textFill>
        </w:rPr>
        <w:t>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635.71</w:t>
      </w:r>
      <w:r>
        <w:rPr>
          <w:rFonts w:hint="eastAsia" w:ascii="仿宋_GB2312" w:hAnsi="ˎ̥" w:eastAsia="仿宋_GB2312" w:cs="Times New Roman"/>
          <w:color w:val="000000" w:themeColor="text1"/>
          <w:sz w:val="32"/>
          <w:szCs w:val="32"/>
          <w:highlight w:val="none"/>
          <w14:textFill>
            <w14:solidFill>
              <w14:schemeClr w14:val="tx1"/>
            </w14:solidFill>
          </w14:textFill>
        </w:rPr>
        <w:t>万元，占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82.44</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b/>
          <w:color w:val="000000" w:themeColor="text1"/>
          <w:sz w:val="32"/>
          <w:szCs w:val="32"/>
          <w:highlight w:val="none"/>
          <w14:textFill>
            <w14:solidFill>
              <w14:schemeClr w14:val="tx1"/>
            </w14:solidFill>
          </w14:textFill>
        </w:rPr>
        <w:t>社会保障和就业（类）</w:t>
      </w:r>
      <w:r>
        <w:rPr>
          <w:rFonts w:hint="eastAsia" w:ascii="仿宋_GB2312" w:hAnsi="ˎ̥" w:eastAsia="仿宋_GB2312" w:cs="Times New Roman"/>
          <w:color w:val="000000" w:themeColor="text1"/>
          <w:sz w:val="32"/>
          <w:szCs w:val="32"/>
          <w:highlight w:val="none"/>
          <w14:textFill>
            <w14:solidFill>
              <w14:schemeClr w14:val="tx1"/>
            </w14:solidFill>
          </w14:textFill>
        </w:rPr>
        <w:t>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47.66</w:t>
      </w:r>
      <w:r>
        <w:rPr>
          <w:rFonts w:hint="eastAsia" w:ascii="仿宋_GB2312" w:hAnsi="ˎ̥" w:eastAsia="仿宋_GB2312" w:cs="Times New Roman"/>
          <w:color w:val="000000" w:themeColor="text1"/>
          <w:sz w:val="32"/>
          <w:szCs w:val="32"/>
          <w:highlight w:val="none"/>
          <w14:textFill>
            <w14:solidFill>
              <w14:schemeClr w14:val="tx1"/>
            </w14:solidFill>
          </w14:textFill>
        </w:rPr>
        <w:t>万元，占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6.18</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b/>
          <w:bCs/>
          <w:color w:val="000000" w:themeColor="text1"/>
          <w:sz w:val="32"/>
          <w:szCs w:val="32"/>
          <w:highlight w:val="none"/>
          <w14:textFill>
            <w14:solidFill>
              <w14:schemeClr w14:val="tx1"/>
            </w14:solidFill>
          </w14:textFill>
        </w:rPr>
        <w:t>住房保障（类）</w:t>
      </w:r>
      <w:r>
        <w:rPr>
          <w:rFonts w:hint="eastAsia" w:ascii="仿宋_GB2312" w:hAnsi="ˎ̥" w:eastAsia="仿宋_GB2312" w:cs="Times New Roman"/>
          <w:color w:val="000000" w:themeColor="text1"/>
          <w:sz w:val="32"/>
          <w:szCs w:val="32"/>
          <w:highlight w:val="none"/>
          <w14:textFill>
            <w14:solidFill>
              <w14:schemeClr w14:val="tx1"/>
            </w14:solidFill>
          </w14:textFill>
        </w:rPr>
        <w:t>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31.45</w:t>
      </w:r>
      <w:r>
        <w:rPr>
          <w:rFonts w:hint="eastAsia" w:ascii="仿宋_GB2312" w:hAnsi="ˎ̥" w:eastAsia="仿宋_GB2312" w:cs="Times New Roman"/>
          <w:color w:val="000000" w:themeColor="text1"/>
          <w:sz w:val="32"/>
          <w:szCs w:val="32"/>
          <w:highlight w:val="none"/>
          <w14:textFill>
            <w14:solidFill>
              <w14:schemeClr w14:val="tx1"/>
            </w14:solidFill>
          </w14:textFill>
        </w:rPr>
        <w:t>万元，占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4.08</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b/>
          <w:bCs/>
          <w:color w:val="000000" w:themeColor="text1"/>
          <w:sz w:val="32"/>
          <w:szCs w:val="32"/>
          <w:highlight w:val="none"/>
          <w14:textFill>
            <w14:solidFill>
              <w14:schemeClr w14:val="tx1"/>
            </w14:solidFill>
          </w14:textFill>
        </w:rPr>
        <w:t>卫生健康（类）</w:t>
      </w:r>
      <w:r>
        <w:rPr>
          <w:rFonts w:hint="eastAsia" w:ascii="仿宋_GB2312" w:hAnsi="ˎ̥" w:eastAsia="仿宋_GB2312" w:cs="Times New Roman"/>
          <w:color w:val="000000" w:themeColor="text1"/>
          <w:sz w:val="32"/>
          <w:szCs w:val="32"/>
          <w:highlight w:val="none"/>
          <w14:textFill>
            <w14:solidFill>
              <w14:schemeClr w14:val="tx1"/>
            </w14:solidFill>
          </w14:textFill>
        </w:rPr>
        <w:t>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47.39</w:t>
      </w:r>
      <w:r>
        <w:rPr>
          <w:rFonts w:hint="eastAsia" w:ascii="仿宋_GB2312" w:hAnsi="ˎ̥" w:eastAsia="仿宋_GB2312" w:cs="Times New Roman"/>
          <w:color w:val="000000" w:themeColor="text1"/>
          <w:sz w:val="32"/>
          <w:szCs w:val="32"/>
          <w:highlight w:val="none"/>
          <w14:textFill>
            <w14:solidFill>
              <w14:schemeClr w14:val="tx1"/>
            </w14:solidFill>
          </w14:textFill>
        </w:rPr>
        <w:t>万元，占</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6.15</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bookmarkStart w:id="93" w:name="_Toc9502_WPSOffice_Level2"/>
      <w:bookmarkStart w:id="94" w:name="_Toc22318_WPSOffice_Level2"/>
      <w:bookmarkStart w:id="95" w:name="_Toc21701_WPSOffice_Level2"/>
      <w:bookmarkStart w:id="96" w:name="_Toc25136_WPSOffice_Level2"/>
      <w:bookmarkStart w:id="97" w:name="_Toc15415_WPSOffice_Level2"/>
      <w:bookmarkStart w:id="98" w:name="_Toc29364_WPSOffice_Level2"/>
      <w:r>
        <w:rPr>
          <w:rFonts w:hint="eastAsia" w:ascii="楷体" w:hAnsi="楷体" w:eastAsia="楷体" w:cs="楷体"/>
          <w:color w:val="000000" w:themeColor="text1"/>
          <w:sz w:val="32"/>
          <w:szCs w:val="32"/>
          <w:highlight w:val="none"/>
          <w14:textFill>
            <w14:solidFill>
              <w14:schemeClr w14:val="tx1"/>
            </w14:solidFill>
          </w14:textFill>
        </w:rPr>
        <w:t>（三）一般公共预算财政拨款支出决算具体情况。</w:t>
      </w:r>
      <w:bookmarkEnd w:id="93"/>
      <w:bookmarkEnd w:id="94"/>
      <w:bookmarkEnd w:id="95"/>
      <w:bookmarkEnd w:id="96"/>
      <w:bookmarkEnd w:id="97"/>
      <w:bookmarkEnd w:id="98"/>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年度一般公共预算财政拨款支出年初预算为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680.10</w:t>
      </w:r>
      <w:r>
        <w:rPr>
          <w:rFonts w:hint="eastAsia" w:ascii="仿宋_GB2312" w:hAnsi="ˎ̥" w:eastAsia="仿宋_GB2312" w:cs="Times New Roman"/>
          <w:color w:val="000000" w:themeColor="text1"/>
          <w:sz w:val="32"/>
          <w:szCs w:val="32"/>
          <w:highlight w:val="none"/>
          <w14:textFill>
            <w14:solidFill>
              <w14:schemeClr w14:val="tx1"/>
            </w14:solidFill>
          </w14:textFill>
        </w:rPr>
        <w:t>万元，支出决算为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771.16</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113.39</w:t>
      </w:r>
      <w:r>
        <w:rPr>
          <w:rFonts w:hint="eastAsia" w:ascii="仿宋_GB2312" w:hAnsi="ˎ̥" w:eastAsia="仿宋_GB2312" w:cs="Times New Roman"/>
          <w:color w:val="000000" w:themeColor="text1"/>
          <w:sz w:val="32"/>
          <w:szCs w:val="32"/>
          <w:highlight w:val="none"/>
          <w14:textFill>
            <w14:solidFill>
              <w14:schemeClr w14:val="tx1"/>
            </w14:solidFill>
          </w14:textFill>
        </w:rPr>
        <w:t>%。其中：</w:t>
      </w:r>
    </w:p>
    <w:p>
      <w:pPr>
        <w:ind w:firstLine="640" w:firstLineChars="200"/>
        <w:rPr>
          <w:rFonts w:ascii="仿宋_GB2312" w:hAnsi="ˎ̥" w:eastAsia="仿宋_GB2312" w:cs="Times New Roman"/>
          <w:b/>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1.</w:t>
      </w:r>
      <w:r>
        <w:rPr>
          <w:rFonts w:hint="eastAsia" w:ascii="仿宋_GB2312" w:hAnsi="ˎ̥" w:eastAsia="仿宋_GB2312" w:cs="Times New Roman"/>
          <w:b/>
          <w:color w:val="000000" w:themeColor="text1"/>
          <w:sz w:val="32"/>
          <w:szCs w:val="32"/>
          <w:highlight w:val="none"/>
          <w14:textFill>
            <w14:solidFill>
              <w14:schemeClr w14:val="tx1"/>
            </w14:solidFill>
          </w14:textFill>
        </w:rPr>
        <w:t>教育（类）普通教育（款）小学教育（项）。</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666.88</w:t>
      </w:r>
      <w:r>
        <w:rPr>
          <w:rFonts w:hint="eastAsia" w:ascii="仿宋_GB2312" w:hAnsi="ˎ̥" w:eastAsia="仿宋_GB2312" w:cs="Times New Roman"/>
          <w:color w:val="000000" w:themeColor="text1"/>
          <w:sz w:val="32"/>
          <w:szCs w:val="32"/>
          <w:highlight w:val="none"/>
          <w14:textFill>
            <w14:solidFill>
              <w14:schemeClr w14:val="tx1"/>
            </w14:solidFill>
          </w14:textFill>
        </w:rPr>
        <w:t>万元，支出决算为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635.71</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95.33</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仿宋_GB2312" w:hAnsi="ˎ̥" w:eastAsia="仿宋_GB2312" w:cs="Times New Roman"/>
          <w:b/>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w:t>
      </w:r>
      <w:r>
        <w:rPr>
          <w:rFonts w:hint="eastAsia" w:ascii="仿宋_GB2312" w:hAnsi="ˎ̥" w:eastAsia="仿宋_GB2312" w:cs="Times New Roman"/>
          <w:b/>
          <w:color w:val="000000" w:themeColor="text1"/>
          <w:sz w:val="32"/>
          <w:szCs w:val="32"/>
          <w:highlight w:val="none"/>
          <w14:textFill>
            <w14:solidFill>
              <w14:schemeClr w14:val="tx1"/>
            </w14:solidFill>
          </w14:textFill>
        </w:rPr>
        <w:t>教育（类）教育管理事务（款）其他教育管理事务支出（项）。</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万元，支出决算为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5</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100</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3.</w:t>
      </w:r>
      <w:r>
        <w:rPr>
          <w:rFonts w:hint="eastAsia" w:ascii="仿宋_GB2312" w:hAnsi="ˎ̥" w:eastAsia="仿宋_GB2312" w:cs="Times New Roman"/>
          <w:b/>
          <w:color w:val="000000" w:themeColor="text1"/>
          <w:sz w:val="32"/>
          <w:szCs w:val="32"/>
          <w:highlight w:val="none"/>
          <w14:textFill>
            <w14:solidFill>
              <w14:schemeClr w14:val="tx1"/>
            </w14:solidFill>
          </w14:textFill>
        </w:rPr>
        <w:t>社会保障和就业（类）行政事业单位养老支出（款）</w:t>
      </w:r>
      <w:bookmarkStart w:id="99" w:name="OLE_LINK3"/>
      <w:r>
        <w:rPr>
          <w:rFonts w:hint="eastAsia" w:ascii="仿宋_GB2312" w:hAnsi="ˎ̥" w:eastAsia="仿宋_GB2312" w:cs="Times New Roman"/>
          <w:b/>
          <w:color w:val="000000" w:themeColor="text1"/>
          <w:sz w:val="32"/>
          <w:szCs w:val="32"/>
          <w:highlight w:val="none"/>
          <w14:textFill>
            <w14:solidFill>
              <w14:schemeClr w14:val="tx1"/>
            </w14:solidFill>
          </w14:textFill>
        </w:rPr>
        <w:t>机关事业单位基本养老保险缴费和职业年金缴费支出</w:t>
      </w:r>
      <w:bookmarkEnd w:id="99"/>
      <w:r>
        <w:rPr>
          <w:rFonts w:hint="eastAsia" w:ascii="仿宋_GB2312" w:hAnsi="ˎ̥" w:eastAsia="仿宋_GB2312" w:cs="Times New Roman"/>
          <w:b/>
          <w:color w:val="000000" w:themeColor="text1"/>
          <w:sz w:val="32"/>
          <w:szCs w:val="32"/>
          <w:highlight w:val="none"/>
          <w14:textFill>
            <w14:solidFill>
              <w14:schemeClr w14:val="tx1"/>
            </w14:solidFill>
          </w14:textFill>
        </w:rPr>
        <w:t>（项）。</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13.22</w:t>
      </w:r>
      <w:r>
        <w:rPr>
          <w:rFonts w:hint="eastAsia" w:ascii="仿宋_GB2312" w:hAnsi="ˎ̥" w:eastAsia="仿宋_GB2312" w:cs="Times New Roman"/>
          <w:color w:val="000000" w:themeColor="text1"/>
          <w:sz w:val="32"/>
          <w:szCs w:val="32"/>
          <w:highlight w:val="none"/>
          <w14:textFill>
            <w14:solidFill>
              <w14:schemeClr w14:val="tx1"/>
            </w14:solidFill>
          </w14:textFill>
        </w:rPr>
        <w:t>万元，</w:t>
      </w:r>
      <w:bookmarkStart w:id="100" w:name="OLE_LINK4"/>
      <w:r>
        <w:rPr>
          <w:rFonts w:hint="eastAsia" w:ascii="仿宋_GB2312" w:hAnsi="ˎ̥" w:eastAsia="仿宋_GB2312" w:cs="Times New Roman"/>
          <w:color w:val="000000" w:themeColor="text1"/>
          <w:sz w:val="32"/>
          <w:szCs w:val="32"/>
          <w:highlight w:val="none"/>
          <w14:textFill>
            <w14:solidFill>
              <w14:schemeClr w14:val="tx1"/>
            </w14:solidFill>
          </w14:textFill>
        </w:rPr>
        <w:t>其中</w:t>
      </w:r>
      <w:r>
        <w:rPr>
          <w:rFonts w:hint="eastAsia" w:ascii="仿宋_GB2312" w:hAnsi="ˎ̥" w:eastAsia="仿宋_GB2312" w:cs="Times New Roman"/>
          <w:b w:val="0"/>
          <w:bCs/>
          <w:color w:val="000000" w:themeColor="text1"/>
          <w:sz w:val="32"/>
          <w:szCs w:val="32"/>
          <w:highlight w:val="none"/>
          <w14:textFill>
            <w14:solidFill>
              <w14:schemeClr w14:val="tx1"/>
            </w14:solidFill>
          </w14:textFill>
        </w:rPr>
        <w:t>机关事业单位基本养老保险缴费</w:t>
      </w:r>
      <w:r>
        <w:rPr>
          <w:rFonts w:hint="eastAsia" w:ascii="仿宋_GB2312" w:hAnsi="ˎ̥" w:eastAsia="仿宋_GB2312" w:cs="Times New Roman"/>
          <w:color w:val="000000" w:themeColor="text1"/>
          <w:sz w:val="32"/>
          <w:szCs w:val="32"/>
          <w:highlight w:val="none"/>
          <w14:textFill>
            <w14:solidFill>
              <w14:schemeClr w14:val="tx1"/>
            </w14:solidFill>
          </w14:textFill>
        </w:rPr>
        <w:t>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33.58</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254.01</w:t>
      </w:r>
      <w:r>
        <w:rPr>
          <w:rFonts w:hint="eastAsia" w:ascii="仿宋_GB2312" w:hAnsi="ˎ̥" w:eastAsia="仿宋_GB2312" w:cs="Times New Roman"/>
          <w:color w:val="000000" w:themeColor="text1"/>
          <w:sz w:val="32"/>
          <w:szCs w:val="32"/>
          <w:highlight w:val="none"/>
          <w14:textFill>
            <w14:solidFill>
              <w14:schemeClr w14:val="tx1"/>
            </w14:solidFill>
          </w14:textFill>
        </w:rPr>
        <w:t>%</w:t>
      </w:r>
      <w:bookmarkEnd w:id="100"/>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ˎ̥" w:eastAsia="仿宋_GB2312" w:cs="Times New Roman"/>
          <w:color w:val="000000" w:themeColor="text1"/>
          <w:sz w:val="32"/>
          <w:szCs w:val="32"/>
          <w:highlight w:val="none"/>
          <w14:textFill>
            <w14:solidFill>
              <w14:schemeClr w14:val="tx1"/>
            </w14:solidFill>
          </w14:textFill>
        </w:rPr>
        <w:t>其中</w:t>
      </w:r>
      <w:r>
        <w:rPr>
          <w:rFonts w:hint="eastAsia" w:ascii="仿宋_GB2312" w:hAnsi="ˎ̥" w:eastAsia="仿宋_GB2312" w:cs="Times New Roman"/>
          <w:b w:val="0"/>
          <w:bCs/>
          <w:color w:val="000000" w:themeColor="text1"/>
          <w:sz w:val="32"/>
          <w:szCs w:val="32"/>
          <w:highlight w:val="none"/>
          <w14:textFill>
            <w14:solidFill>
              <w14:schemeClr w14:val="tx1"/>
            </w14:solidFill>
          </w14:textFill>
        </w:rPr>
        <w:t>机关事业单位职业年金缴费</w:t>
      </w:r>
      <w:r>
        <w:rPr>
          <w:rFonts w:hint="eastAsia" w:ascii="仿宋_GB2312" w:hAnsi="ˎ̥" w:eastAsia="仿宋_GB2312" w:cs="Times New Roman"/>
          <w:color w:val="000000" w:themeColor="text1"/>
          <w:sz w:val="32"/>
          <w:szCs w:val="32"/>
          <w:highlight w:val="none"/>
          <w14:textFill>
            <w14:solidFill>
              <w14:schemeClr w14:val="tx1"/>
            </w14:solidFill>
          </w14:textFill>
        </w:rPr>
        <w:t>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47.66</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360.51</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4</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b/>
          <w:color w:val="000000" w:themeColor="text1"/>
          <w:sz w:val="32"/>
          <w:szCs w:val="32"/>
          <w:highlight w:val="none"/>
          <w14:textFill>
            <w14:solidFill>
              <w14:schemeClr w14:val="tx1"/>
            </w14:solidFill>
          </w14:textFill>
        </w:rPr>
        <w:t>卫生健康（类）行政事业单位医疗（款）事业单位医疗（项）。</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20.13</w:t>
      </w:r>
      <w:r>
        <w:rPr>
          <w:rFonts w:hint="eastAsia" w:ascii="仿宋_GB2312" w:hAnsi="ˎ̥" w:eastAsia="仿宋_GB2312" w:cs="Times New Roman"/>
          <w:color w:val="000000" w:themeColor="text1"/>
          <w:sz w:val="32"/>
          <w:szCs w:val="32"/>
          <w:highlight w:val="none"/>
          <w14:textFill>
            <w14:solidFill>
              <w14:schemeClr w14:val="tx1"/>
            </w14:solidFill>
          </w14:textFill>
        </w:rPr>
        <w:t>万元，支出决算为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16.38</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81.37</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5</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b/>
          <w:color w:val="000000" w:themeColor="text1"/>
          <w:sz w:val="32"/>
          <w:szCs w:val="32"/>
          <w:highlight w:val="none"/>
          <w14:textFill>
            <w14:solidFill>
              <w14:schemeClr w14:val="tx1"/>
            </w14:solidFill>
          </w14:textFill>
        </w:rPr>
        <w:t>社会保障和就业（类）行政事业单位医疗（款）公务员医疗补助（项）。</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31.29</w:t>
      </w:r>
      <w:r>
        <w:rPr>
          <w:rFonts w:hint="eastAsia" w:ascii="仿宋_GB2312" w:hAnsi="ˎ̥" w:eastAsia="仿宋_GB2312" w:cs="Times New Roman"/>
          <w:color w:val="000000" w:themeColor="text1"/>
          <w:sz w:val="32"/>
          <w:szCs w:val="32"/>
          <w:highlight w:val="none"/>
          <w14:textFill>
            <w14:solidFill>
              <w14:schemeClr w14:val="tx1"/>
            </w14:solidFill>
          </w14:textFill>
        </w:rPr>
        <w:t>万元，支出决算为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31.01</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99.11</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6</w:t>
      </w:r>
      <w:r>
        <w:rPr>
          <w:rFonts w:hint="eastAsia" w:ascii="仿宋_GB2312" w:hAnsi="ˎ̥" w:eastAsia="仿宋_GB2312" w:cs="Times New Roman"/>
          <w:color w:val="000000" w:themeColor="text1"/>
          <w:sz w:val="32"/>
          <w:szCs w:val="32"/>
          <w:highlight w:val="none"/>
          <w14:textFill>
            <w14:solidFill>
              <w14:schemeClr w14:val="tx1"/>
            </w14:solidFill>
          </w14:textFill>
        </w:rPr>
        <w:t>.</w:t>
      </w:r>
      <w:r>
        <w:rPr>
          <w:rFonts w:hint="eastAsia" w:ascii="仿宋_GB2312" w:hAnsi="ˎ̥" w:eastAsia="仿宋_GB2312" w:cs="Times New Roman"/>
          <w:b/>
          <w:color w:val="000000" w:themeColor="text1"/>
          <w:sz w:val="32"/>
          <w:szCs w:val="32"/>
          <w:highlight w:val="none"/>
          <w14:textFill>
            <w14:solidFill>
              <w14:schemeClr w14:val="tx1"/>
            </w14:solidFill>
          </w14:textFill>
        </w:rPr>
        <w:t>住房保障（类）住房改革支出（款）住房公积金（项）。</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年初预算为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30.24</w:t>
      </w:r>
      <w:r>
        <w:rPr>
          <w:rFonts w:hint="eastAsia" w:ascii="仿宋_GB2312" w:hAnsi="ˎ̥" w:eastAsia="仿宋_GB2312" w:cs="Times New Roman"/>
          <w:color w:val="000000" w:themeColor="text1"/>
          <w:sz w:val="32"/>
          <w:szCs w:val="32"/>
          <w:highlight w:val="none"/>
          <w14:textFill>
            <w14:solidFill>
              <w14:schemeClr w14:val="tx1"/>
            </w14:solidFill>
          </w14:textFill>
        </w:rPr>
        <w:t>万元，支出决算为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31.45</w:t>
      </w:r>
      <w:r>
        <w:rPr>
          <w:rFonts w:hint="eastAsia" w:ascii="仿宋_GB2312" w:hAnsi="ˎ̥" w:eastAsia="仿宋_GB2312" w:cs="Times New Roman"/>
          <w:color w:val="000000" w:themeColor="text1"/>
          <w:sz w:val="32"/>
          <w:szCs w:val="32"/>
          <w:highlight w:val="none"/>
          <w14:textFill>
            <w14:solidFill>
              <w14:schemeClr w14:val="tx1"/>
            </w14:solidFill>
          </w14:textFill>
        </w:rPr>
        <w:t>万元，完成年初预算的</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104</w:t>
      </w:r>
      <w:r>
        <w:rPr>
          <w:rFonts w:hint="eastAsia" w:ascii="仿宋_GB2312" w:hAnsi="ˎ̥" w:eastAsia="仿宋_GB2312" w:cs="Times New Roman"/>
          <w:color w:val="000000" w:themeColor="text1"/>
          <w:sz w:val="32"/>
          <w:szCs w:val="32"/>
          <w:highlight w:val="none"/>
          <w14:textFill>
            <w14:solidFill>
              <w14:schemeClr w14:val="tx1"/>
            </w14:solidFill>
          </w14:textFill>
        </w:rPr>
        <w:t>%。</w:t>
      </w:r>
    </w:p>
    <w:p>
      <w:pPr>
        <w:ind w:firstLine="627" w:firstLineChars="196"/>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六、一般公共预算财政拨款基本支出决算情况说明。</w:t>
      </w:r>
    </w:p>
    <w:p>
      <w:pPr>
        <w:tabs>
          <w:tab w:val="center" w:pos="4473"/>
        </w:tabs>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年度财政拨款基本支出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515.20</w:t>
      </w:r>
      <w:r>
        <w:rPr>
          <w:rFonts w:hint="eastAsia" w:ascii="仿宋_GB2312" w:hAnsi="ˎ̥" w:eastAsia="仿宋_GB2312" w:cs="Times New Roman"/>
          <w:color w:val="000000" w:themeColor="text1"/>
          <w:sz w:val="32"/>
          <w:szCs w:val="32"/>
          <w:highlight w:val="none"/>
          <w14:textFill>
            <w14:solidFill>
              <w14:schemeClr w14:val="tx1"/>
            </w14:solidFill>
          </w14:textFill>
        </w:rPr>
        <w:t>万元，其中：人员经费</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500.32</w:t>
      </w:r>
      <w:r>
        <w:rPr>
          <w:rFonts w:hint="eastAsia" w:ascii="仿宋_GB2312" w:hAnsi="ˎ̥" w:eastAsia="仿宋_GB2312" w:cs="Times New Roman"/>
          <w:color w:val="000000" w:themeColor="text1"/>
          <w:sz w:val="32"/>
          <w:szCs w:val="32"/>
          <w:highlight w:val="none"/>
          <w14:textFill>
            <w14:solidFill>
              <w14:schemeClr w14:val="tx1"/>
            </w14:solidFill>
          </w14:textFill>
        </w:rPr>
        <w:t>万元，主要包括：基本工资、津贴补贴、奖金、绩效工资、机关事业单位基本养老保险缴费、职业年金缴费、职工基本医疗保险缴费、公务员医疗补助缴费、其他社会保障缴费、住房公积金、医疗费、对个人和家庭的补助支出、奖励金等。公用经费</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14.88</w:t>
      </w:r>
      <w:r>
        <w:rPr>
          <w:rFonts w:hint="eastAsia" w:ascii="仿宋_GB2312" w:hAnsi="ˎ̥" w:eastAsia="仿宋_GB2312" w:cs="Times New Roman"/>
          <w:color w:val="000000" w:themeColor="text1"/>
          <w:sz w:val="32"/>
          <w:szCs w:val="32"/>
          <w:highlight w:val="none"/>
          <w14:textFill>
            <w14:solidFill>
              <w14:schemeClr w14:val="tx1"/>
            </w14:solidFill>
          </w14:textFill>
        </w:rPr>
        <w:t>万元，主要包括：邮电费、工会经费、其他商品和服务支出。</w:t>
      </w:r>
    </w:p>
    <w:p>
      <w:pPr>
        <w:tabs>
          <w:tab w:val="center" w:pos="4473"/>
        </w:tabs>
        <w:ind w:firstLine="627" w:firstLineChars="196"/>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七、政府性基金预算财政拨款支出决算情况说明</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（一）政府性基金预算财政拨款支出决算总体情况。</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年度政府性基金预算财政拨款支出0万元，占本年支出合计的0%。与20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年度相比，政府性基金预算财政拨款支出增加0万元，增长0%，主要原因是没有该项预算。</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（二）政府性基金预算财政拨款支出决算结构情况。</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年度政府性基金预算财政拨款支出0万元。</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（三）政府性基金预算财政拨款支出决算具体情况。</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年度政府性基金预算财政拨款支出年初预算为0万元，支出决算为0万元，完成年初预算的0%。</w:t>
      </w:r>
    </w:p>
    <w:p>
      <w:pPr>
        <w:tabs>
          <w:tab w:val="center" w:pos="4473"/>
        </w:tabs>
        <w:ind w:firstLine="627" w:firstLineChars="196"/>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八、国有资本经营预算财政拨款支出决算情况说明</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（一）国有资本经营预算财政拨款支出决算总体情况。</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年度国有资本经营预算财政拨款支出0万元，占本年支出合计的0%。与20</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w:t>
      </w:r>
      <w:r>
        <w:rPr>
          <w:rFonts w:hint="eastAsia" w:ascii="仿宋_GB2312" w:hAnsi="ˎ̥" w:eastAsia="仿宋_GB2312" w:cs="Times New Roman"/>
          <w:color w:val="000000" w:themeColor="text1"/>
          <w:sz w:val="32"/>
          <w:szCs w:val="32"/>
          <w:highlight w:val="none"/>
          <w14:textFill>
            <w14:solidFill>
              <w14:schemeClr w14:val="tx1"/>
            </w14:solidFill>
          </w14:textFill>
        </w:rPr>
        <w:t>年度相比，国有资本经营预算财政拨款支出增加0万元，增长0%，主要原因是没有该项预算。</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（二）国有资本经营预算财政拨款支出决算结构情况。</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年度国有资本经营预算财政拨款支出0万元。</w:t>
      </w:r>
    </w:p>
    <w:p>
      <w:pPr>
        <w:ind w:firstLine="640"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（三）国有资本经营预算财政拨款支出决算具体情况。</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年度国有资本经营预算财政拨款支出年初预算为0万元，支出决算为0万元，完成年初预算的0%。</w:t>
      </w:r>
    </w:p>
    <w:p>
      <w:pPr>
        <w:ind w:firstLine="627" w:firstLineChars="196"/>
        <w:rPr>
          <w:rFonts w:ascii="仿宋_GB2312" w:hAnsi="ˎ̥" w:eastAsia="楷体_GB2312" w:cs="Times New Roman"/>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九、一般公共预算财政拨款“三公”经费支出决算情况说明</w:t>
      </w:r>
    </w:p>
    <w:p>
      <w:pPr>
        <w:ind w:firstLine="643" w:firstLineChars="200"/>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（一）一般公共预算财政拨款“三公”经费支出决算总体情况说明。</w:t>
      </w:r>
    </w:p>
    <w:p>
      <w:pPr>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 xml:space="preserve">    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年度一般公共预算财政拨款“三公”经费支出预算为0万元，支出决算为0万元，完成预算的0%</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ˎ̥" w:eastAsia="仿宋_GB2312"/>
          <w:color w:val="000000" w:themeColor="text1"/>
          <w:sz w:val="32"/>
          <w:szCs w:val="32"/>
          <w:highlight w:val="none"/>
          <w:lang w:val="zh-CN"/>
          <w14:textFill>
            <w14:solidFill>
              <w14:schemeClr w14:val="tx1"/>
            </w14:solidFill>
          </w14:textFill>
        </w:rPr>
        <w:t>与预算数持平。</w:t>
      </w:r>
    </w:p>
    <w:p>
      <w:pPr>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（二）一般公共预算财政拨款“三公”经费支出决算具体情况说明。</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年度一般公共预算财政拨款“三公”经费支出决算中，因公出国（境）费支出决算0万元，占0%；公务用车购置及运行费支出决算0万元，占0%；公务接待费支出决算0万元，占0%。具体情况如下：</w:t>
      </w:r>
    </w:p>
    <w:p>
      <w:pPr>
        <w:ind w:firstLine="643"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b/>
          <w:color w:val="000000" w:themeColor="text1"/>
          <w:sz w:val="32"/>
          <w:szCs w:val="32"/>
          <w:highlight w:val="none"/>
          <w14:textFill>
            <w14:solidFill>
              <w14:schemeClr w14:val="tx1"/>
            </w14:solidFill>
          </w14:textFill>
        </w:rPr>
        <w:t>1.因公出国（境）费</w:t>
      </w:r>
      <w:r>
        <w:rPr>
          <w:rFonts w:hint="eastAsia" w:ascii="仿宋_GB2312" w:hAnsi="ˎ̥" w:eastAsia="仿宋_GB2312" w:cs="Times New Roman"/>
          <w:color w:val="000000" w:themeColor="text1"/>
          <w:sz w:val="32"/>
          <w:szCs w:val="32"/>
          <w:highlight w:val="none"/>
          <w14:textFill>
            <w14:solidFill>
              <w14:schemeClr w14:val="tx1"/>
            </w14:solidFill>
          </w14:textFill>
        </w:rPr>
        <w:t>支出0万元。全年安排因公出国（境）团组0个，因公出国（境）0人次。</w:t>
      </w:r>
    </w:p>
    <w:p>
      <w:pPr>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14:textFill>
            <w14:solidFill>
              <w14:schemeClr w14:val="tx1"/>
            </w14:solidFill>
          </w14:textFill>
        </w:rPr>
        <w:t>因公出国（境）费支出决算与预算数持平。</w:t>
      </w:r>
    </w:p>
    <w:p>
      <w:pPr>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b/>
          <w:color w:val="000000" w:themeColor="text1"/>
          <w:sz w:val="32"/>
          <w:szCs w:val="32"/>
          <w:highlight w:val="none"/>
          <w14:textFill>
            <w14:solidFill>
              <w14:schemeClr w14:val="tx1"/>
            </w14:solidFill>
          </w14:textFill>
        </w:rPr>
        <w:t xml:space="preserve">    2.公务用车购置及运行费支出</w:t>
      </w:r>
      <w:r>
        <w:rPr>
          <w:rFonts w:hint="eastAsia" w:ascii="仿宋_GB2312" w:hAnsi="ˎ̥" w:eastAsia="仿宋_GB2312" w:cs="Times New Roman"/>
          <w:color w:val="000000" w:themeColor="text1"/>
          <w:sz w:val="32"/>
          <w:szCs w:val="32"/>
          <w:highlight w:val="none"/>
          <w14:textFill>
            <w14:solidFill>
              <w14:schemeClr w14:val="tx1"/>
            </w14:solidFill>
          </w14:textFill>
        </w:rPr>
        <w:t>0万元。其中：</w:t>
      </w:r>
    </w:p>
    <w:p>
      <w:pPr>
        <w:ind w:firstLine="643"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b/>
          <w:color w:val="000000" w:themeColor="text1"/>
          <w:sz w:val="32"/>
          <w:szCs w:val="32"/>
          <w:highlight w:val="none"/>
          <w14:textFill>
            <w14:solidFill>
              <w14:schemeClr w14:val="tx1"/>
            </w14:solidFill>
          </w14:textFill>
        </w:rPr>
        <w:t>公务用车购置支出</w:t>
      </w:r>
      <w:r>
        <w:rPr>
          <w:rFonts w:hint="eastAsia" w:ascii="仿宋_GB2312" w:hAnsi="ˎ̥" w:eastAsia="仿宋_GB2312" w:cs="Times New Roman"/>
          <w:color w:val="000000" w:themeColor="text1"/>
          <w:sz w:val="32"/>
          <w:szCs w:val="32"/>
          <w:highlight w:val="none"/>
          <w14:textFill>
            <w14:solidFill>
              <w14:schemeClr w14:val="tx1"/>
            </w14:solidFill>
          </w14:textFill>
        </w:rPr>
        <w:t>0万元，全年购置公务用车0辆，年末公务用车保有量0辆。</w:t>
      </w:r>
    </w:p>
    <w:p>
      <w:pPr>
        <w:ind w:firstLine="643"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b/>
          <w:color w:val="000000" w:themeColor="text1"/>
          <w:sz w:val="32"/>
          <w:szCs w:val="32"/>
          <w:highlight w:val="none"/>
          <w14:textFill>
            <w14:solidFill>
              <w14:schemeClr w14:val="tx1"/>
            </w14:solidFill>
          </w14:textFill>
        </w:rPr>
        <w:t>公务用车运行维护费</w:t>
      </w:r>
      <w:r>
        <w:rPr>
          <w:rFonts w:hint="eastAsia" w:ascii="仿宋_GB2312" w:hAnsi="ˎ̥" w:eastAsia="仿宋_GB2312" w:cs="Times New Roman"/>
          <w:color w:val="000000" w:themeColor="text1"/>
          <w:sz w:val="32"/>
          <w:szCs w:val="32"/>
          <w:highlight w:val="none"/>
          <w14:textFill>
            <w14:solidFill>
              <w14:schemeClr w14:val="tx1"/>
            </w14:solidFill>
          </w14:textFill>
        </w:rPr>
        <w:t>支出0万元。</w:t>
      </w:r>
    </w:p>
    <w:p>
      <w:pPr>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公务用车购置及运行费支出决算与预算数持平。</w:t>
      </w:r>
    </w:p>
    <w:p>
      <w:pPr>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b/>
          <w:color w:val="000000" w:themeColor="text1"/>
          <w:sz w:val="32"/>
          <w:szCs w:val="32"/>
          <w:highlight w:val="none"/>
          <w14:textFill>
            <w14:solidFill>
              <w14:schemeClr w14:val="tx1"/>
            </w14:solidFill>
          </w14:textFill>
        </w:rPr>
        <w:t xml:space="preserve">    3.公务接待费支出</w:t>
      </w:r>
      <w:r>
        <w:rPr>
          <w:rFonts w:hint="eastAsia" w:ascii="仿宋_GB2312" w:hAnsi="ˎ̥" w:eastAsia="仿宋_GB2312" w:cs="Times New Roman"/>
          <w:color w:val="000000" w:themeColor="text1"/>
          <w:sz w:val="32"/>
          <w:szCs w:val="32"/>
          <w:highlight w:val="none"/>
          <w14:textFill>
            <w14:solidFill>
              <w14:schemeClr w14:val="tx1"/>
            </w14:solidFill>
          </w14:textFill>
        </w:rPr>
        <w:t>0万元，其中：</w:t>
      </w:r>
    </w:p>
    <w:p>
      <w:pPr>
        <w:ind w:firstLine="643"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b/>
          <w:color w:val="000000" w:themeColor="text1"/>
          <w:sz w:val="32"/>
          <w:szCs w:val="32"/>
          <w:highlight w:val="none"/>
          <w14:textFill>
            <w14:solidFill>
              <w14:schemeClr w14:val="tx1"/>
            </w14:solidFill>
          </w14:textFill>
        </w:rPr>
        <w:t>国内接待费</w:t>
      </w:r>
      <w:r>
        <w:rPr>
          <w:rFonts w:hint="eastAsia" w:ascii="仿宋_GB2312" w:hAnsi="ˎ̥" w:eastAsia="仿宋_GB2312" w:cs="Times New Roman"/>
          <w:color w:val="000000" w:themeColor="text1"/>
          <w:sz w:val="32"/>
          <w:szCs w:val="32"/>
          <w:highlight w:val="none"/>
          <w14:textFill>
            <w14:solidFill>
              <w14:schemeClr w14:val="tx1"/>
            </w14:solidFill>
          </w14:textFill>
        </w:rPr>
        <w:t>支出0万元，国内公务接待0批次，接待0人次。</w:t>
      </w:r>
    </w:p>
    <w:p>
      <w:pPr>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国（境）外接待费支出0万元，国（境）外公务接待0批次，接待0人次。</w:t>
      </w:r>
    </w:p>
    <w:p>
      <w:pPr>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olor w:val="000000" w:themeColor="text1"/>
          <w:sz w:val="32"/>
          <w:szCs w:val="32"/>
          <w:highlight w:val="none"/>
          <w:lang w:val="zh-CN"/>
          <w14:textFill>
            <w14:solidFill>
              <w14:schemeClr w14:val="tx1"/>
            </w14:solidFill>
          </w14:textFill>
        </w:rPr>
        <w:t>公务接待费支出决算数与预算数持平。</w:t>
      </w:r>
    </w:p>
    <w:p>
      <w:pPr>
        <w:ind w:firstLine="627" w:firstLineChars="196"/>
        <w:rPr>
          <w:rFonts w:ascii="仿宋_GB2312" w:hAnsi="ˎ̥" w:eastAsia="楷体_GB2312" w:cs="Times New Roman"/>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十、政府性基金预算财政拨款“三公”经费支出决算情况说明</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年度政府性基金预算财政拨款“三公”经费支出合计0万元。其中：因公出国（境）费支出决算0万元，占0%；公务用车购置及运行费支出决算0万元，占0%；公务接待费支出决算0万元，占0%。</w:t>
      </w:r>
    </w:p>
    <w:p>
      <w:pPr>
        <w:ind w:firstLine="627" w:firstLineChars="196"/>
        <w:rPr>
          <w:rFonts w:ascii="仿宋_GB2312" w:hAnsi="ˎ̥" w:eastAsia="楷体_GB2312" w:cs="Times New Roman"/>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十一、国有资本经营预算财政拨款“三公”经费支出决算情况说明</w:t>
      </w:r>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年度国有资本经营预算财政拨款“三公”经费支出合计0万元。其中：因公出国（境）费支出决算0万元，占0%；公务用车购置及运行费支出决算0万元，占0%；公务接待费支出决算0万元，占0%。</w:t>
      </w:r>
    </w:p>
    <w:p>
      <w:pPr>
        <w:ind w:firstLine="640" w:firstLineChars="200"/>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十二、预算绩效情况说明。</w:t>
      </w:r>
    </w:p>
    <w:p>
      <w:pPr>
        <w:spacing w:line="578" w:lineRule="exact"/>
        <w:ind w:firstLine="643" w:firstLineChars="200"/>
        <w:rPr>
          <w:rFonts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（一）绩效管理工作开展情况。</w:t>
      </w:r>
    </w:p>
    <w:p>
      <w:pPr>
        <w:spacing w:line="578" w:lineRule="exact"/>
        <w:ind w:firstLine="640" w:firstLineChars="200"/>
        <w:rPr>
          <w:rFonts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根据财政预算管理要求，三亚市天涯区</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槟榔</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小学对202</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年度一般公共预算项目支出全面开展绩效自评。自评项目3个，共涉及资金</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202.73</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万元，自评覆盖率达到100%。</w:t>
      </w:r>
    </w:p>
    <w:p>
      <w:pPr>
        <w:ind w:firstLine="640" w:firstLineChars="200"/>
        <w:rPr>
          <w:rFonts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共组织对“人才引进及师资队伍建设”、“教育教学管理及监督”、“公用经费”3个项目开展了部门评价，涉及资金</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202.73</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w:t>
      </w:r>
    </w:p>
    <w:p>
      <w:pPr>
        <w:ind w:firstLine="640" w:firstLineChars="200"/>
        <w:rPr>
          <w:rFonts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开展整体支出绩效评价，涉及资金</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202.73</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w:t>
      </w:r>
    </w:p>
    <w:p>
      <w:pPr>
        <w:spacing w:line="578" w:lineRule="exact"/>
        <w:ind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（二）部门决算中项目绩效自评结果。</w:t>
      </w:r>
    </w:p>
    <w:p>
      <w:pPr>
        <w:spacing w:line="578" w:lineRule="exact"/>
        <w:ind w:firstLine="640" w:firstLineChars="200"/>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人才引进及师资队伍建设涉及资金</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103.64</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spacing w:line="578" w:lineRule="exact"/>
        <w:ind w:firstLine="640" w:firstLineChars="200"/>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教育教学管理及监督涉及资金</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39.80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spacing w:line="578" w:lineRule="exact"/>
        <w:ind w:firstLine="640" w:firstLineChars="200"/>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3、城乡义务教育生均</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公用经费涉及资金</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59.29</w:t>
      </w:r>
      <w:r>
        <w:rPr>
          <w:rFonts w:hint="eastAsia" w:ascii="仿宋_GB2312" w:hAnsi="Times New Roman" w:eastAsia="仿宋_GB2312" w:cs="Times New Roman"/>
          <w:color w:val="000000" w:themeColor="text1"/>
          <w:sz w:val="32"/>
          <w:szCs w:val="32"/>
          <w:highlight w:val="none"/>
          <w14:textFill>
            <w14:solidFill>
              <w14:schemeClr w14:val="tx1"/>
            </w14:solidFill>
          </w14:textFill>
        </w:rPr>
        <w:t>万元</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w:t>
      </w:r>
    </w:p>
    <w:p>
      <w:pPr>
        <w:spacing w:line="578" w:lineRule="exact"/>
        <w:ind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（三）财政评价项目绩效评价结果。</w:t>
      </w:r>
    </w:p>
    <w:p>
      <w:pPr>
        <w:ind w:firstLine="640" w:firstLineChars="200"/>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无。</w:t>
      </w:r>
    </w:p>
    <w:p>
      <w:pPr>
        <w:spacing w:line="578" w:lineRule="exact"/>
        <w:ind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（四）部门评价项目绩效评价结果。</w:t>
      </w:r>
    </w:p>
    <w:p>
      <w:pPr>
        <w:ind w:firstLine="640" w:firstLineChars="200"/>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无。</w:t>
      </w:r>
    </w:p>
    <w:p>
      <w:pPr>
        <w:ind w:firstLine="640" w:firstLineChars="200"/>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十三、其他重要事项情况说明。</w:t>
      </w:r>
    </w:p>
    <w:p>
      <w:pPr>
        <w:ind w:firstLine="643" w:firstLineChars="200"/>
        <w:rPr>
          <w:rFonts w:ascii="楷体" w:hAnsi="楷体" w:eastAsia="楷体" w:cs="楷体"/>
          <w:b/>
          <w:color w:val="000000" w:themeColor="text1"/>
          <w:sz w:val="32"/>
          <w:szCs w:val="32"/>
          <w:highlight w:val="none"/>
          <w14:textFill>
            <w14:solidFill>
              <w14:schemeClr w14:val="tx1"/>
            </w14:solidFill>
          </w14:textFill>
        </w:rPr>
      </w:pPr>
      <w:bookmarkStart w:id="101" w:name="_Toc5978_WPSOffice_Level2"/>
      <w:bookmarkStart w:id="102" w:name="_Toc15262_WPSOffice_Level2"/>
      <w:bookmarkStart w:id="103" w:name="_Toc23598_WPSOffice_Level2"/>
      <w:bookmarkStart w:id="104" w:name="_Toc32639_WPSOffice_Level2"/>
      <w:bookmarkStart w:id="105" w:name="_Toc18325_WPSOffice_Level2"/>
      <w:bookmarkStart w:id="106" w:name="_Toc15565_WPSOffice_Level2"/>
      <w:r>
        <w:rPr>
          <w:rFonts w:hint="eastAsia" w:ascii="楷体" w:hAnsi="楷体" w:eastAsia="楷体" w:cs="楷体"/>
          <w:b/>
          <w:color w:val="000000" w:themeColor="text1"/>
          <w:sz w:val="32"/>
          <w:szCs w:val="32"/>
          <w:highlight w:val="none"/>
          <w14:textFill>
            <w14:solidFill>
              <w14:schemeClr w14:val="tx1"/>
            </w14:solidFill>
          </w14:textFill>
        </w:rPr>
        <w:t>（一）机关运行经费支出情况。</w:t>
      </w:r>
      <w:bookmarkEnd w:id="101"/>
      <w:bookmarkEnd w:id="102"/>
      <w:bookmarkEnd w:id="103"/>
      <w:bookmarkEnd w:id="104"/>
      <w:bookmarkEnd w:id="105"/>
      <w:bookmarkEnd w:id="106"/>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年度三亚市天涯区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槟榔</w:t>
      </w:r>
      <w:r>
        <w:rPr>
          <w:rFonts w:hint="eastAsia" w:ascii="仿宋_GB2312" w:hAnsi="ˎ̥" w:eastAsia="仿宋_GB2312" w:cs="Times New Roman"/>
          <w:color w:val="000000" w:themeColor="text1"/>
          <w:sz w:val="32"/>
          <w:szCs w:val="32"/>
          <w:highlight w:val="none"/>
          <w14:textFill>
            <w14:solidFill>
              <w14:schemeClr w14:val="tx1"/>
            </w14:solidFill>
          </w14:textFill>
        </w:rPr>
        <w:t>小学机关运行经费0万元。主要原因是：事业单位没有机关运行经费支出</w:t>
      </w:r>
    </w:p>
    <w:p>
      <w:pPr>
        <w:ind w:firstLine="643" w:firstLineChars="200"/>
        <w:rPr>
          <w:rFonts w:ascii="楷体" w:hAnsi="楷体" w:eastAsia="楷体" w:cs="楷体"/>
          <w:b/>
          <w:color w:val="000000" w:themeColor="text1"/>
          <w:sz w:val="32"/>
          <w:szCs w:val="32"/>
          <w:highlight w:val="none"/>
          <w14:textFill>
            <w14:solidFill>
              <w14:schemeClr w14:val="tx1"/>
            </w14:solidFill>
          </w14:textFill>
        </w:rPr>
      </w:pPr>
      <w:bookmarkStart w:id="107" w:name="_Toc13084_WPSOffice_Level2"/>
      <w:bookmarkStart w:id="108" w:name="_Toc32689_WPSOffice_Level2"/>
      <w:bookmarkStart w:id="109" w:name="_Toc23966_WPSOffice_Level2"/>
      <w:bookmarkStart w:id="110" w:name="_Toc3131_WPSOffice_Level2"/>
      <w:bookmarkStart w:id="111" w:name="_Toc25333_WPSOffice_Level2"/>
      <w:bookmarkStart w:id="112" w:name="_Toc30383_WPSOffice_Level2"/>
      <w:r>
        <w:rPr>
          <w:rFonts w:hint="eastAsia" w:ascii="楷体" w:hAnsi="楷体" w:eastAsia="楷体" w:cs="楷体"/>
          <w:b/>
          <w:color w:val="000000" w:themeColor="text1"/>
          <w:sz w:val="32"/>
          <w:szCs w:val="32"/>
          <w:highlight w:val="none"/>
          <w14:textFill>
            <w14:solidFill>
              <w14:schemeClr w14:val="tx1"/>
            </w14:solidFill>
          </w14:textFill>
        </w:rPr>
        <w:t>（二）政府采购支出情况。</w:t>
      </w:r>
      <w:bookmarkEnd w:id="107"/>
      <w:bookmarkEnd w:id="108"/>
      <w:bookmarkEnd w:id="109"/>
      <w:bookmarkEnd w:id="110"/>
      <w:bookmarkEnd w:id="111"/>
      <w:bookmarkEnd w:id="112"/>
    </w:p>
    <w:p>
      <w:pPr>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年度三亚市天涯区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槟榔</w:t>
      </w:r>
      <w:r>
        <w:rPr>
          <w:rFonts w:hint="eastAsia" w:ascii="仿宋_GB2312" w:hAnsi="ˎ̥" w:eastAsia="仿宋_GB2312" w:cs="Times New Roman"/>
          <w:color w:val="000000" w:themeColor="text1"/>
          <w:sz w:val="32"/>
          <w:szCs w:val="32"/>
          <w:highlight w:val="none"/>
          <w14:textFill>
            <w14:solidFill>
              <w14:schemeClr w14:val="tx1"/>
            </w14:solidFill>
          </w14:textFill>
        </w:rPr>
        <w:t>小学政府采购支出总额</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万元，其中：政府采购货物支出</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0</w:t>
      </w:r>
      <w:r>
        <w:rPr>
          <w:rFonts w:hint="eastAsia" w:ascii="仿宋_GB2312" w:hAnsi="ˎ̥" w:eastAsia="仿宋_GB2312" w:cs="Times New Roman"/>
          <w:color w:val="000000" w:themeColor="text1"/>
          <w:sz w:val="32"/>
          <w:szCs w:val="32"/>
          <w:highlight w:val="none"/>
          <w14:textFill>
            <w14:solidFill>
              <w14:schemeClr w14:val="tx1"/>
            </w14:solidFill>
          </w14:textFill>
        </w:rPr>
        <w:t>万元、政府采购工程支出0万元、政府采购服务支出0万元。</w:t>
      </w:r>
    </w:p>
    <w:p>
      <w:pPr>
        <w:ind w:firstLine="643" w:firstLineChars="200"/>
        <w:rPr>
          <w:rFonts w:ascii="楷体" w:hAnsi="楷体" w:eastAsia="楷体" w:cs="楷体"/>
          <w:b/>
          <w:color w:val="000000" w:themeColor="text1"/>
          <w:sz w:val="32"/>
          <w:szCs w:val="32"/>
          <w:highlight w:val="none"/>
          <w14:textFill>
            <w14:solidFill>
              <w14:schemeClr w14:val="tx1"/>
            </w14:solidFill>
          </w14:textFill>
        </w:rPr>
      </w:pPr>
      <w:bookmarkStart w:id="113" w:name="_Toc19989_WPSOffice_Level2"/>
      <w:bookmarkStart w:id="114" w:name="_Toc15129_WPSOffice_Level2"/>
      <w:bookmarkStart w:id="115" w:name="_Toc29584_WPSOffice_Level2"/>
      <w:bookmarkStart w:id="116" w:name="_Toc10902_WPSOffice_Level2"/>
      <w:bookmarkStart w:id="117" w:name="_Toc527_WPSOffice_Level2"/>
      <w:bookmarkStart w:id="118" w:name="_Toc6016_WPSOffice_Level2"/>
      <w:r>
        <w:rPr>
          <w:rFonts w:hint="eastAsia" w:ascii="楷体" w:hAnsi="楷体" w:eastAsia="楷体" w:cs="楷体"/>
          <w:b/>
          <w:color w:val="000000" w:themeColor="text1"/>
          <w:sz w:val="32"/>
          <w:szCs w:val="32"/>
          <w:highlight w:val="none"/>
          <w14:textFill>
            <w14:solidFill>
              <w14:schemeClr w14:val="tx1"/>
            </w14:solidFill>
          </w14:textFill>
        </w:rPr>
        <w:t>（三）国有资产占用情况。</w:t>
      </w:r>
      <w:bookmarkEnd w:id="113"/>
      <w:bookmarkEnd w:id="114"/>
      <w:bookmarkEnd w:id="115"/>
      <w:bookmarkEnd w:id="116"/>
      <w:bookmarkEnd w:id="117"/>
      <w:bookmarkEnd w:id="118"/>
    </w:p>
    <w:p>
      <w:pPr>
        <w:spacing w:line="578" w:lineRule="exact"/>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截至202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年12月31日，本部门占用房屋面积</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210</w:t>
      </w:r>
      <w:r>
        <w:rPr>
          <w:rFonts w:hint="eastAsia" w:ascii="仿宋_GB2312" w:hAnsi="ˎ̥" w:eastAsia="仿宋_GB2312" w:cs="Times New Roman"/>
          <w:color w:val="000000" w:themeColor="text1"/>
          <w:sz w:val="32"/>
          <w:szCs w:val="32"/>
          <w:highlight w:val="none"/>
          <w14:textFill>
            <w14:solidFill>
              <w14:schemeClr w14:val="tx1"/>
            </w14:solidFill>
          </w14:textFill>
        </w:rPr>
        <w:t>平方米，其中：办公用房</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210</w:t>
      </w:r>
      <w:r>
        <w:rPr>
          <w:rFonts w:hint="eastAsia" w:ascii="仿宋_GB2312" w:hAnsi="ˎ̥" w:eastAsia="仿宋_GB2312" w:cs="Times New Roman"/>
          <w:color w:val="000000" w:themeColor="text1"/>
          <w:sz w:val="32"/>
          <w:szCs w:val="32"/>
          <w:highlight w:val="none"/>
          <w14:textFill>
            <w14:solidFill>
              <w14:schemeClr w14:val="tx1"/>
            </w14:solidFill>
          </w14:textFill>
        </w:rPr>
        <w:t>平方米，业务用房0平方米，其他（不含构筑物）0平方米。</w:t>
      </w:r>
    </w:p>
    <w:p>
      <w:pPr>
        <w:spacing w:line="578" w:lineRule="exact"/>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本部门共有车辆0辆，其中：从车辆种类说明：轿车0辆、越野车0辆、小型载客汽车0辆、大中型载客汽车辆、其他车型0辆；从车辆使用情况说明：副部（省）级及以上领导用车0辆、主要领导干部用车0辆、机要通信用车0辆、应急保障用车0辆、执法执勤用车0辆、特种专业技术用车0辆、离退休干部用车0辆、其他用车0辆。</w:t>
      </w:r>
    </w:p>
    <w:p>
      <w:pPr>
        <w:spacing w:line="578" w:lineRule="exact"/>
        <w:ind w:firstLine="640" w:firstLineChars="200"/>
        <w:rPr>
          <w:rFonts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单位价值50万元（含）以上通用设备0台（套），单价100万元（含）以上专用设备0台（套）。</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年末在建工程0万元。</w:t>
      </w: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ind w:firstLine="640" w:firstLineChars="200"/>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rPr>
          <w:rFonts w:hint="eastAsia" w:ascii="仿宋_GB2312" w:hAnsi="ˎ̥" w:eastAsia="仿宋_GB2312" w:cs="Times New Roman"/>
          <w:color w:val="000000" w:themeColor="text1"/>
          <w:sz w:val="32"/>
          <w:szCs w:val="32"/>
          <w:highlight w:val="none"/>
          <w14:textFill>
            <w14:solidFill>
              <w14:schemeClr w14:val="tx1"/>
            </w14:solidFill>
          </w14:textFill>
        </w:rPr>
      </w:pPr>
    </w:p>
    <w:p>
      <w:pPr>
        <w:spacing w:line="578" w:lineRule="exact"/>
        <w:rPr>
          <w:rFonts w:hint="eastAsia" w:ascii="仿宋_GB2312" w:hAnsi="ˎ̥" w:eastAsia="仿宋_GB2312" w:cs="Times New Roman"/>
          <w:color w:val="000000" w:themeColor="text1"/>
          <w:sz w:val="32"/>
          <w:szCs w:val="32"/>
          <w:highlight w:val="none"/>
          <w14:textFill>
            <w14:solidFill>
              <w14:schemeClr w14:val="tx1"/>
            </w14:solidFill>
          </w14:textFill>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ind w:firstLine="645"/>
        <w:rPr>
          <w:color w:val="000000" w:themeColor="text1"/>
          <w:highlight w:val="none"/>
          <w14:textFill>
            <w14:solidFill>
              <w14:schemeClr w14:val="tx1"/>
            </w14:solidFill>
          </w14:textFill>
        </w:rPr>
      </w:pPr>
      <w:bookmarkStart w:id="119" w:name="_GoBack"/>
      <w:bookmarkEnd w:id="119"/>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modern"/>
    <w:pitch w:val="default"/>
    <w:sig w:usb0="E00002FF" w:usb1="4000045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rPr>
    </w:lvl>
  </w:abstractNum>
  <w:abstractNum w:abstractNumId="4071906012">
    <w:nsid w:val="F2B45ADC"/>
    <w:multiLevelType w:val="singleLevel"/>
    <w:tmpl w:val="F2B45ADC"/>
    <w:lvl w:ilvl="0" w:tentative="1">
      <w:start w:val="1"/>
      <w:numFmt w:val="chineseCounting"/>
      <w:suff w:val="nothing"/>
      <w:lvlText w:val="%1、"/>
      <w:lvlJc w:val="left"/>
      <w:rPr>
        <w:rFonts w:hint="eastAsia"/>
      </w:rPr>
    </w:lvl>
  </w:abstractNum>
  <w:num w:numId="1">
    <w:abstractNumId w:val="1913692045"/>
  </w:num>
  <w:num w:numId="2">
    <w:abstractNumId w:val="40719060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NDM3ZmE4M2FjMDM1ZTBiNGRiZjdlMDI2MGQ0MzUifQ=="/>
  </w:docVars>
  <w:rsids>
    <w:rsidRoot w:val="00D32ACE"/>
    <w:rsid w:val="000819F9"/>
    <w:rsid w:val="000C0FC3"/>
    <w:rsid w:val="000C3289"/>
    <w:rsid w:val="00165BA4"/>
    <w:rsid w:val="001A7613"/>
    <w:rsid w:val="001B54A0"/>
    <w:rsid w:val="002102AF"/>
    <w:rsid w:val="00240B5C"/>
    <w:rsid w:val="002F2B57"/>
    <w:rsid w:val="00345463"/>
    <w:rsid w:val="003528F1"/>
    <w:rsid w:val="003F0D1A"/>
    <w:rsid w:val="00457F19"/>
    <w:rsid w:val="0047528A"/>
    <w:rsid w:val="004923AD"/>
    <w:rsid w:val="004A5298"/>
    <w:rsid w:val="004B343D"/>
    <w:rsid w:val="004D0B4C"/>
    <w:rsid w:val="00510FB7"/>
    <w:rsid w:val="00527033"/>
    <w:rsid w:val="00574D29"/>
    <w:rsid w:val="005E4604"/>
    <w:rsid w:val="005E4790"/>
    <w:rsid w:val="005E5712"/>
    <w:rsid w:val="00617E25"/>
    <w:rsid w:val="006E30C2"/>
    <w:rsid w:val="006F2EC3"/>
    <w:rsid w:val="00780C83"/>
    <w:rsid w:val="007876F5"/>
    <w:rsid w:val="00877D96"/>
    <w:rsid w:val="00880C2C"/>
    <w:rsid w:val="008D3791"/>
    <w:rsid w:val="00914ABF"/>
    <w:rsid w:val="00930AC0"/>
    <w:rsid w:val="00943DE7"/>
    <w:rsid w:val="00954A09"/>
    <w:rsid w:val="009C68E4"/>
    <w:rsid w:val="009E6620"/>
    <w:rsid w:val="00A062C9"/>
    <w:rsid w:val="00A133CD"/>
    <w:rsid w:val="00A20588"/>
    <w:rsid w:val="00A54072"/>
    <w:rsid w:val="00A92FC5"/>
    <w:rsid w:val="00AF1C32"/>
    <w:rsid w:val="00B512BF"/>
    <w:rsid w:val="00C01B66"/>
    <w:rsid w:val="00C3564D"/>
    <w:rsid w:val="00CD5803"/>
    <w:rsid w:val="00CF76E7"/>
    <w:rsid w:val="00D16F7B"/>
    <w:rsid w:val="00D30F7F"/>
    <w:rsid w:val="00D32ACE"/>
    <w:rsid w:val="00DB6ECB"/>
    <w:rsid w:val="00DD0AC5"/>
    <w:rsid w:val="00E23916"/>
    <w:rsid w:val="00EC1A2B"/>
    <w:rsid w:val="00F054C6"/>
    <w:rsid w:val="00F11B99"/>
    <w:rsid w:val="00F12AB2"/>
    <w:rsid w:val="00F93E07"/>
    <w:rsid w:val="00FC402A"/>
    <w:rsid w:val="05986CBF"/>
    <w:rsid w:val="0A31526B"/>
    <w:rsid w:val="10BB5190"/>
    <w:rsid w:val="13A30CAD"/>
    <w:rsid w:val="21FA4037"/>
    <w:rsid w:val="26952BAF"/>
    <w:rsid w:val="28902AC4"/>
    <w:rsid w:val="28EB477E"/>
    <w:rsid w:val="2C0C0E5D"/>
    <w:rsid w:val="31FA3E76"/>
    <w:rsid w:val="34353E81"/>
    <w:rsid w:val="357021CB"/>
    <w:rsid w:val="3D5D11C3"/>
    <w:rsid w:val="3D9D05CF"/>
    <w:rsid w:val="43AE76E7"/>
    <w:rsid w:val="4439397F"/>
    <w:rsid w:val="45F90A33"/>
    <w:rsid w:val="4705491E"/>
    <w:rsid w:val="47870662"/>
    <w:rsid w:val="501A341E"/>
    <w:rsid w:val="50636B18"/>
    <w:rsid w:val="559C28A2"/>
    <w:rsid w:val="562E14F6"/>
    <w:rsid w:val="5B5B1B91"/>
    <w:rsid w:val="5CCB4073"/>
    <w:rsid w:val="5ECD1A47"/>
    <w:rsid w:val="5F1B10F4"/>
    <w:rsid w:val="5FBB17E2"/>
    <w:rsid w:val="64B5489A"/>
    <w:rsid w:val="64F370FD"/>
    <w:rsid w:val="72E43211"/>
    <w:rsid w:val="73BA27F0"/>
    <w:rsid w:val="75002E12"/>
    <w:rsid w:val="750254F7"/>
    <w:rsid w:val="780C50C4"/>
    <w:rsid w:val="7CED61B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5415</Words>
  <Characters>5904</Characters>
  <Lines>51</Lines>
  <Paragraphs>14</Paragraphs>
  <TotalTime>0</TotalTime>
  <ScaleCrop>false</ScaleCrop>
  <LinksUpToDate>false</LinksUpToDate>
  <CharactersWithSpaces>6018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Administrator</cp:lastModifiedBy>
  <dcterms:modified xsi:type="dcterms:W3CDTF">2023-09-25T04:00:30Z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BC60A311F36549E6988901FCCC41156C</vt:lpwstr>
  </property>
</Properties>
</file>