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2020" w:tblpY="2518"/>
        <w:tblOverlap w:val="never"/>
        <w:tblW w:w="89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6"/>
        <w:gridCol w:w="1930"/>
        <w:gridCol w:w="2470"/>
        <w:gridCol w:w="2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69" w:type="dxa"/>
            <w:gridSpan w:val="4"/>
            <w:tcBorders>
              <w:top w:val="nil"/>
              <w:left w:val="nil"/>
              <w:bottom w:val="nil"/>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rPr>
                <w:rFonts w:hint="default" w:ascii="黑体" w:hAnsi="黑体" w:eastAsia="黑体" w:cs="黑体"/>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方正小标宋简体" w:hAnsi="方正小标宋简体" w:eastAsia="方正小标宋简体" w:cs="方正小标宋简体"/>
                <w:b w:val="0"/>
                <w:bCs w:val="0"/>
                <w:sz w:val="32"/>
                <w:szCs w:val="32"/>
                <w:lang w:eastAsia="zh-CN"/>
              </w:rPr>
            </w:pPr>
            <w:bookmarkStart w:id="0" w:name="_GoBack"/>
            <w:r>
              <w:rPr>
                <w:rFonts w:hint="eastAsia" w:ascii="方正小标宋简体" w:hAnsi="方正小标宋简体" w:eastAsia="方正小标宋简体" w:cs="方正小标宋简体"/>
                <w:b w:val="0"/>
                <w:bCs w:val="0"/>
                <w:sz w:val="32"/>
                <w:szCs w:val="32"/>
                <w:lang w:val="en-US" w:eastAsia="zh-CN"/>
              </w:rPr>
              <w:t>中共三亚市委机构编制委员会办公室政府</w:t>
            </w:r>
            <w:r>
              <w:rPr>
                <w:rFonts w:hint="eastAsia" w:ascii="方正小标宋简体" w:hAnsi="方正小标宋简体" w:eastAsia="方正小标宋简体" w:cs="方正小标宋简体"/>
                <w:b w:val="0"/>
                <w:bCs w:val="0"/>
                <w:sz w:val="32"/>
                <w:szCs w:val="32"/>
                <w:lang w:eastAsia="zh-CN"/>
              </w:rPr>
              <w:t>购买服务指导性目录</w:t>
            </w:r>
            <w:bookmarkEnd w:id="0"/>
          </w:p>
          <w:p>
            <w:pPr>
              <w:pStyle w:val="2"/>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代码/目录</w:t>
            </w:r>
          </w:p>
        </w:tc>
        <w:tc>
          <w:tcPr>
            <w:tcW w:w="1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一级目录</w:t>
            </w:r>
          </w:p>
        </w:tc>
        <w:tc>
          <w:tcPr>
            <w:tcW w:w="247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二级目录</w:t>
            </w:r>
          </w:p>
        </w:tc>
        <w:tc>
          <w:tcPr>
            <w:tcW w:w="2793"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三级目录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204001E</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政府履职所需辅助性服务</w:t>
            </w: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b/>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b/>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204001E01</w:t>
            </w:r>
          </w:p>
        </w:tc>
        <w:tc>
          <w:tcPr>
            <w:tcW w:w="1930"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法律服务</w:t>
            </w:r>
          </w:p>
        </w:tc>
        <w:tc>
          <w:tcPr>
            <w:tcW w:w="2793"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204001E0101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诉讼代理服务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204001E0102</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法律咨询服务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204001E02</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课题研究和社会调查</w:t>
            </w: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204001E0201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工作所需相关课题研究和调查服务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204001E03</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会议和展览</w:t>
            </w: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204001E0301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会务、展览服务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204001E04</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项目评审评估</w:t>
            </w: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204001E0401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项目评审评估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204001E05</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咨询</w:t>
            </w: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204001E0501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工作相关咨询服务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204001E06</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技术业务培训</w:t>
            </w: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204001E0601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专业知识培训服务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204001E07</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财务会计审计服务</w:t>
            </w: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204001E0701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会计及审计工作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204001E08</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机关信息系统建设与维护</w:t>
            </w: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204001E0801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机关信息系统的建设与维护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204001E09</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绩效评价</w:t>
            </w:r>
          </w:p>
        </w:tc>
        <w:tc>
          <w:tcPr>
            <w:tcW w:w="2793"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204001E0901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4"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4"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业务相关绩效评价服务</w:t>
            </w:r>
          </w:p>
        </w:tc>
      </w:tr>
    </w:tbl>
    <w:p>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rPr>
          <w:rFonts w:hint="eastAsia" w:ascii="黑体" w:hAnsi="黑体" w:eastAsia="黑体" w:cs="黑体"/>
          <w:sz w:val="32"/>
          <w:szCs w:val="32"/>
        </w:rPr>
        <w:sectPr>
          <w:footerReference r:id="rId3" w:type="default"/>
          <w:footerReference r:id="rId4" w:type="even"/>
          <w:pgSz w:w="11906" w:h="16838"/>
          <w:pgMar w:top="2211" w:right="1474" w:bottom="1417" w:left="1587" w:header="851" w:footer="992" w:gutter="0"/>
          <w:pgNumType w:fmt="decimal" w:start="6"/>
          <w:cols w:space="0" w:num="1"/>
          <w:titlePg/>
          <w:rtlGutter w:val="0"/>
          <w:docGrid w:type="lines" w:linePitch="318" w:charSpace="0"/>
        </w:sectPr>
      </w:pPr>
      <w:r>
        <w:rPr>
          <w:rFonts w:hint="default" w:ascii="Times New Roman" w:hAnsi="Times New Roman" w:eastAsia="仿宋_GB2312" w:cs="Times New Roman"/>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p>
    <w:p>
      <w:pPr>
        <w:pStyle w:val="2"/>
        <w:rPr>
          <w:rFonts w:hint="eastAsia" w:ascii="仿宋" w:hAnsi="仿宋" w:eastAsia="仿宋" w:cs="仿宋"/>
          <w:sz w:val="24"/>
          <w:szCs w:val="24"/>
          <w:lang w:val="en-US" w:eastAsia="zh-CN"/>
        </w:rPr>
      </w:pPr>
    </w:p>
    <w:p>
      <w:pPr>
        <w:rPr>
          <w:rFonts w:hint="eastAsia"/>
          <w:lang w:val="en-US" w:eastAsia="zh-CN"/>
        </w:rPr>
      </w:pPr>
    </w:p>
    <w:tbl>
      <w:tblPr>
        <w:tblStyle w:val="5"/>
        <w:tblW w:w="8969"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6"/>
        <w:gridCol w:w="1930"/>
        <w:gridCol w:w="2470"/>
        <w:gridCol w:w="2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代码/目录</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一级目录</w:t>
            </w: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二级目录</w:t>
            </w: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三级目录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204001E10</w:t>
            </w:r>
          </w:p>
        </w:tc>
        <w:tc>
          <w:tcPr>
            <w:tcW w:w="1930" w:type="dxa"/>
            <w:tcBorders>
              <w:top w:val="single" w:color="auto" w:sz="6" w:space="0"/>
              <w:left w:val="single" w:color="auto" w:sz="6" w:space="0"/>
              <w:bottom w:val="nil"/>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后勤服务</w:t>
            </w:r>
          </w:p>
        </w:tc>
        <w:tc>
          <w:tcPr>
            <w:tcW w:w="2793"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204001E1001</w:t>
            </w:r>
          </w:p>
        </w:tc>
        <w:tc>
          <w:tcPr>
            <w:tcW w:w="1930" w:type="dxa"/>
            <w:tcBorders>
              <w:top w:val="single" w:color="auto" w:sz="6" w:space="0"/>
              <w:left w:val="single" w:color="auto" w:sz="6" w:space="0"/>
              <w:bottom w:val="nil"/>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办公设备维修保养服务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204001E1002</w:t>
            </w:r>
          </w:p>
        </w:tc>
        <w:tc>
          <w:tcPr>
            <w:tcW w:w="1930" w:type="dxa"/>
            <w:tcBorders>
              <w:top w:val="single" w:color="auto" w:sz="6" w:space="0"/>
              <w:left w:val="single" w:color="auto" w:sz="6" w:space="0"/>
              <w:bottom w:val="nil"/>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物业服务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204001E1003</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安全服务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204001E1004</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印刷服务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204001E1005</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餐饮服务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204001E1006</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工程服务</w:t>
            </w: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204001E1101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工程规划、设计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204001E1102</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工程清单、控制价编制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204001E1103</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工程的概（预）、结（决）算审核服务工作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204001E1104</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其他工程管理服务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204001E12</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204001E1201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社会化租车服务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204001E1202</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公务用车运行维护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204001E1203</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档案管理服务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204001F</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其他</w:t>
            </w:r>
          </w:p>
        </w:tc>
        <w:tc>
          <w:tcPr>
            <w:tcW w:w="247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204001F01</w:t>
            </w:r>
          </w:p>
        </w:tc>
        <w:tc>
          <w:tcPr>
            <w:tcW w:w="1930"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color w:val="000000"/>
                <w:sz w:val="24"/>
                <w:szCs w:val="24"/>
              </w:rPr>
            </w:pPr>
          </w:p>
        </w:tc>
        <w:tc>
          <w:tcPr>
            <w:tcW w:w="2470" w:type="dxa"/>
            <w:tcBorders>
              <w:top w:val="nil"/>
              <w:left w:val="single" w:color="auto" w:sz="6" w:space="0"/>
              <w:bottom w:val="single" w:color="auto" w:sz="6" w:space="0"/>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c>
          <w:tcPr>
            <w:tcW w:w="2793"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204001F0101</w:t>
            </w:r>
          </w:p>
        </w:tc>
        <w:tc>
          <w:tcPr>
            <w:tcW w:w="1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color w:val="000000"/>
                <w:sz w:val="24"/>
                <w:szCs w:val="24"/>
              </w:rPr>
            </w:pPr>
          </w:p>
        </w:tc>
        <w:tc>
          <w:tcPr>
            <w:tcW w:w="2470" w:type="dxa"/>
            <w:tcBorders>
              <w:top w:val="single" w:color="auto" w:sz="6" w:space="0"/>
              <w:left w:val="single" w:color="auto" w:sz="6" w:space="0"/>
              <w:bottom w:val="single" w:color="auto" w:sz="6" w:space="0"/>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b/>
                <w:color w:val="000000"/>
                <w:sz w:val="24"/>
                <w:szCs w:val="24"/>
              </w:rPr>
            </w:pPr>
          </w:p>
        </w:tc>
        <w:tc>
          <w:tcPr>
            <w:tcW w:w="2793"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其他政府购买服务事项</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pStyle w:val="2"/>
        <w:rPr>
          <w:rFonts w:hint="eastAsia" w:ascii="方正小标宋简体" w:hAnsi="方正小标宋简体" w:eastAsia="方正小标宋简体" w:cs="方正小标宋简体"/>
          <w:sz w:val="44"/>
          <w:szCs w:val="44"/>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黑体" w:hAnsi="黑体" w:eastAsia="黑体" w:cs="黑体"/>
          <w:sz w:val="28"/>
          <w:szCs w:val="28"/>
          <w:lang w:val="en-US" w:eastAsia="zh-CN"/>
        </w:rPr>
        <w:sectPr>
          <w:footerReference r:id="rId7" w:type="first"/>
          <w:footerReference r:id="rId5" w:type="default"/>
          <w:footerReference r:id="rId6" w:type="even"/>
          <w:pgSz w:w="11906" w:h="16838"/>
          <w:pgMar w:top="2211" w:right="1474" w:bottom="1417" w:left="1587" w:header="851" w:footer="992" w:gutter="0"/>
          <w:pgNumType w:fmt="decimal" w:start="2"/>
          <w:cols w:space="0" w:num="1"/>
          <w:titlePg/>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中共三亚市委机构编制委员会办公室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政府购买服务指导性目录编制说明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一、部门职责</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一）贯彻落实党和国家、省关于行政管理体制和机构改革及机构编制管理的方针政策、法律法规，依法拟订并组织实施全市机构编制管理工作的规划和措施；研究提出中国（海南）自由贸易试验区、中国特色自由贸易港建设涉及行政管理体制改革方面的意见和建议。</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（二）统一管理全市各级党政机关、人大、政协、监察机关，各民主党派、各人民团体机关和事业单位的机构编制工作。</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（三）研究拟订并组织实施全市行政管理体制与机构改革的总体方案，审核市直各部门和各区机构改革方案，指导、协调各区行政管理体制和机构改革以及机构编制管理工作。</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（四）负责全市行政编制、事业编制总量管理，研究拟订全市行政编制和事业编制分配、调整方案。</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（五）协调市直各部门的职能配置和调整，协调市直各部门之间以及市直各部门与各区之间的职责分工。</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6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 xml:space="preserve">（六）审核市直各部门主要职责、内设机构、人员编制和领导职数等事项；审核区级机关的机构设置和调整。 </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七）研究拟订并组织实施全市事业单位管理体制和机构改革总体方案；审核市直事业单位机构编制方案和机构编制调整事项；审核各区事业单位机构改革总体方案；指导、协调各区事业单位管理体制改革和机构编制管理工作。</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八）研究拟订并组织实施全市事业单位登记管理的制度和办法，负责市直及经授权在三亚事业单位的登记管理和监督检查工作；指导、协调各区事业单位的登记管理工作；负责管理市直机关、事业单位统一代码标识工作。</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（九）监督检查全市各级行政管理体制和机构改革以及机构编制的执行情况。</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（十）负责全市机构编制统计工作；负责全市机构编制系统电子政务和信息化建设工作。</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（十一）完成市委、市委机构编制委员会和上级部门交办的其他工作任务。</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二、内设机构：</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60"/>
        <w:jc w:val="both"/>
        <w:textAlignment w:val="auto"/>
        <w:outlineLvl w:val="9"/>
        <w:rPr>
          <w:rFonts w:hint="eastAsia" w:ascii="仿宋_GB2312" w:hAnsi="仿宋_GB2312" w:eastAsia="仿宋_GB2312" w:cs="仿宋_GB2312"/>
          <w:kern w:val="2"/>
          <w:sz w:val="32"/>
          <w:szCs w:val="32"/>
          <w:lang w:eastAsia="zh-CN"/>
        </w:rPr>
        <w:sectPr>
          <w:footerReference r:id="rId10" w:type="first"/>
          <w:footerReference r:id="rId8" w:type="default"/>
          <w:footerReference r:id="rId9" w:type="even"/>
          <w:pgSz w:w="11906" w:h="16838"/>
          <w:pgMar w:top="2211" w:right="1474" w:bottom="1417" w:left="1587" w:header="851" w:footer="992" w:gutter="0"/>
          <w:pgNumType w:fmt="decimal"/>
          <w:cols w:space="0" w:num="1"/>
          <w:titlePg/>
          <w:rtlGutter w:val="0"/>
          <w:docGrid w:type="lines" w:linePitch="318" w:charSpace="0"/>
        </w:sectPr>
      </w:pPr>
      <w:r>
        <w:rPr>
          <w:rFonts w:hint="eastAsia" w:ascii="仿宋_GB2312" w:hAnsi="仿宋_GB2312" w:eastAsia="仿宋_GB2312" w:cs="仿宋_GB2312"/>
          <w:kern w:val="2"/>
          <w:sz w:val="32"/>
          <w:szCs w:val="32"/>
          <w:lang w:eastAsia="zh-CN"/>
        </w:rPr>
        <w:t>（一）综合科。组织协调办机关日常工作；负责文电、会务、机要、档案、财务资产、保密、安全、信访、接待及后勤保障服务工作，协助做好内部审计；负责综合性文稿起草、公文核稿、内部督查、信息宣传等工作；负责办机关和所属事业单位的机构编制、人事工作和退休人员的管理服务；组织办理市人大代表建议和市政协委员提案；组织起草全市机构编制管理方面的规定规章办法；拟订和实施办机关内部管理规章制度；组织做好电子政</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6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务和信息化建设工作。</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二）体制改革科。研究全市行政管理体制和行政机构改革、事业单位改革以及相关领域涉及行政管理体制改革的重大问题，研究提出中国（海南）自由贸易试验区、中国特色自由贸易港建设涉及行政管理体制改革方面的意见和建议；负责全市综合行政执法改革、各类开发区行政管理体制改革以及行政审批制度改革等其他重大专项体制改革；参与拟订全市行政管理体制改革和机构改革的总体方案；参与拟订全市事业单位管理体制和机构改革的总体方案；组织开展机构编制工作理论研究和全市机构编制系统调查研究工作；协调提出市直各部门之间及市直各部门与区级之间的职责分工建议。</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三）机关编制科。研究拟订并组织实施全市行政管理体制与机构改革的总体方案；负责市直各部门和各区党政群机构改革方案审核和督促落实工作；指导、协调各区行政管理体制和机构改革以及机构编制管理工作；审核市直机关“三定”规定和区级行政编制、政法专项编制总额；审核市直各部门的机构设置、人员编制和领导职数配备等事项；审核区级机关的机构设置与调整。</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sectPr>
          <w:footerReference r:id="rId13" w:type="first"/>
          <w:footerReference r:id="rId11" w:type="default"/>
          <w:footerReference r:id="rId12" w:type="even"/>
          <w:pgSz w:w="11906" w:h="16838"/>
          <w:pgMar w:top="2211" w:right="1474" w:bottom="1417" w:left="1587" w:header="851" w:footer="992" w:gutter="0"/>
          <w:pgNumType w:fmt="decimal" w:start="6"/>
          <w:cols w:space="0" w:num="1"/>
          <w:titlePg/>
          <w:rtlGutter w:val="0"/>
          <w:docGrid w:type="lines" w:linePitch="318" w:charSpace="0"/>
        </w:sectPr>
      </w:pPr>
      <w:r>
        <w:rPr>
          <w:rFonts w:hint="eastAsia" w:ascii="仿宋_GB2312" w:hAnsi="仿宋_GB2312" w:eastAsia="仿宋_GB2312" w:cs="仿宋_GB2312"/>
          <w:kern w:val="2"/>
          <w:sz w:val="32"/>
          <w:szCs w:val="32"/>
          <w:lang w:eastAsia="zh-CN"/>
        </w:rPr>
        <w:t>（四）事业编制科（事业单位登记管理科）。研究拟订并组织实施全市事业单位管理体制和机构改革的总体方案；负责全市分类推进事业单位改革工作；审核全市事业单位的机构改革方案；审核市直事业单位的机构编制方案和机构编制调整事项；拟</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订本市事业单位登记管理的具体规定和办法；依法保护本市核准登记或备案的事业单位有关登记事项的合法权益；负责市直及经授权在三亚事业单位的登记管理和监督检查工作；指导、协调各区事业单位登记管理工作；组织全市事业单位登记管理信息的统计和联网工作；负责管理市直机关、事业单位统一代码标识工作；指导各区机关、事业单位统一代码标识工作。</w:t>
      </w:r>
    </w:p>
    <w:p>
      <w:pPr>
        <w:keepNext w:val="0"/>
        <w:keepLines w:val="0"/>
        <w:pageBreakBefore w:val="0"/>
        <w:widowControl w:val="0"/>
        <w:suppressAutoHyphens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五）机构编制监督检查科。监督检查全市各级行政管理体制和机构改革以及机构编制的执行情况，开展机构编制管理评估；监督检查市直各部门“三定”规定的落实情况；负责机构编制违规违纪行为预防教育，受理违反机构编制管理规定的检举和投诉，负责机构编制违规违纪行为查处工作；建立健全与纪检监察机关和组织人事、审计、财政等部门的协作联动机制；负责机构编制统计、核查和机构编制实名制管理、控岗管理、工资统发审核等工作；负责规范机关、事业单位网上名称管理；指导各区机构编制监督检查工作。</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三、已开展政府购买服务项目情况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（一）委托海南法格律师事务所为我办提供日常法律服务，正在执行中。</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（二）委托</w:t>
      </w:r>
      <w:r>
        <w:rPr>
          <w:rFonts w:hint="eastAsia" w:ascii="仿宋_GB2312" w:hAnsi="仿宋_GB2312" w:eastAsia="仿宋_GB2312" w:cs="仿宋_GB2312"/>
          <w:b w:val="0"/>
          <w:bCs w:val="0"/>
          <w:sz w:val="32"/>
          <w:szCs w:val="32"/>
        </w:rPr>
        <w:t>三亚惠民人力资源开发服务有限公司</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sz w:val="32"/>
          <w:szCs w:val="32"/>
          <w:lang w:val="en-US" w:eastAsia="zh-CN"/>
        </w:rPr>
        <w:t>我办提供日常保洁服务，正在执行中。</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（三）委托</w:t>
      </w:r>
      <w:r>
        <w:rPr>
          <w:rFonts w:hint="eastAsia" w:ascii="仿宋_GB2312" w:hAnsi="仿宋_GB2312" w:eastAsia="仿宋_GB2312" w:cs="仿宋_GB2312"/>
          <w:b w:val="0"/>
          <w:bCs w:val="0"/>
          <w:sz w:val="32"/>
          <w:szCs w:val="32"/>
        </w:rPr>
        <w:t>三亚宏盾保安服务有限公司</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sz w:val="32"/>
          <w:szCs w:val="32"/>
          <w:lang w:val="en-US" w:eastAsia="zh-CN"/>
        </w:rPr>
        <w:t>我办提供日常保安服务，正在执行中。</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（四）委托三亚市美馨餐饮</w:t>
      </w:r>
      <w:r>
        <w:rPr>
          <w:rFonts w:hint="eastAsia" w:ascii="仿宋_GB2312" w:hAnsi="仿宋_GB2312" w:eastAsia="仿宋_GB2312" w:cs="仿宋_GB2312"/>
          <w:b w:val="0"/>
          <w:bCs w:val="0"/>
          <w:sz w:val="32"/>
          <w:szCs w:val="32"/>
        </w:rPr>
        <w:t>有限公司</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sz w:val="32"/>
          <w:szCs w:val="32"/>
          <w:lang w:val="en-US" w:eastAsia="zh-CN"/>
        </w:rPr>
        <w:t>我办提供日常餐饮服务，正在执行中。</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jc w:val="both"/>
        <w:textAlignment w:val="auto"/>
        <w:rPr>
          <w:rFonts w:hint="eastAsia" w:ascii="黑体" w:hAnsi="黑体" w:eastAsia="黑体" w:cs="黑体"/>
          <w:b/>
          <w:bCs/>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sz w:val="32"/>
          <w:szCs w:val="32"/>
          <w:lang w:val="en-US" w:eastAsia="zh-CN"/>
        </w:rPr>
        <w:t xml:space="preserve"> 四、部门所属单位情况</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中共三亚市委机构编制委员会办公室下设事业单位为三亚市机构编制事务中心。</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五、部门服务事项</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我办的服务事项主要是法律咨询服务、课题研究、会务服务、项目评审评估、印刷服务、机关信息系统的建设与维护、档案管理服务、物业服务、安全服务、其他工程管理服务等（纳入目录）。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0"/>
        <w:jc w:val="both"/>
        <w:textAlignment w:val="auto"/>
        <w:outlineLvl w:val="9"/>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0"/>
        <w:jc w:val="both"/>
        <w:textAlignment w:val="auto"/>
        <w:outlineLvl w:val="9"/>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auto"/>
        <w:outlineLvl w:val="9"/>
        <w:rPr>
          <w:rFonts w:hint="eastAsia" w:ascii="仿宋" w:hAnsi="仿宋" w:eastAsia="仿宋" w:cs="仿宋"/>
          <w:color w:val="000000"/>
          <w:sz w:val="32"/>
          <w:szCs w:val="32"/>
          <w:lang w:val="en-US" w:eastAsia="zh-CN"/>
        </w:rPr>
      </w:pPr>
    </w:p>
    <w:p>
      <w:pPr>
        <w:pStyle w:val="2"/>
        <w:rPr>
          <w:rFonts w:hint="eastAsia" w:ascii="仿宋" w:hAnsi="仿宋" w:eastAsia="仿宋" w:cs="仿宋"/>
          <w:color w:val="000000"/>
          <w:sz w:val="32"/>
          <w:szCs w:val="32"/>
          <w:lang w:val="en-US" w:eastAsia="zh-CN"/>
        </w:rPr>
      </w:pPr>
    </w:p>
    <w:p>
      <w:pPr>
        <w:rPr>
          <w:rFonts w:hint="eastAsia" w:ascii="仿宋" w:hAnsi="仿宋" w:eastAsia="仿宋" w:cs="仿宋"/>
          <w:color w:val="000000"/>
          <w:sz w:val="32"/>
          <w:szCs w:val="32"/>
          <w:lang w:val="en-US" w:eastAsia="zh-CN"/>
        </w:rPr>
      </w:pPr>
    </w:p>
    <w:p>
      <w:pPr>
        <w:pStyle w:val="2"/>
        <w:rPr>
          <w:rFonts w:hint="eastAsia" w:ascii="仿宋" w:hAnsi="仿宋" w:eastAsia="仿宋" w:cs="仿宋"/>
          <w:color w:val="000000"/>
          <w:sz w:val="32"/>
          <w:szCs w:val="32"/>
          <w:lang w:val="en-US" w:eastAsia="zh-CN"/>
        </w:rPr>
      </w:pPr>
    </w:p>
    <w:p>
      <w:pPr>
        <w:rPr>
          <w:rFonts w:hint="eastAsia" w:ascii="仿宋" w:hAnsi="仿宋" w:eastAsia="仿宋" w:cs="仿宋"/>
          <w:color w:val="000000"/>
          <w:sz w:val="32"/>
          <w:szCs w:val="32"/>
          <w:lang w:val="en-US" w:eastAsia="zh-CN"/>
        </w:rPr>
      </w:pPr>
    </w:p>
    <w:p>
      <w:pPr>
        <w:pStyle w:val="2"/>
        <w:rPr>
          <w:rFonts w:hint="eastAsia" w:ascii="仿宋" w:hAnsi="仿宋" w:eastAsia="仿宋" w:cs="仿宋"/>
          <w:color w:val="000000"/>
          <w:sz w:val="32"/>
          <w:szCs w:val="32"/>
          <w:lang w:val="en-US" w:eastAsia="zh-CN"/>
        </w:rPr>
      </w:pPr>
    </w:p>
    <w:p>
      <w:pPr>
        <w:rPr>
          <w:rFonts w:hint="eastAsia" w:ascii="仿宋" w:hAnsi="仿宋" w:eastAsia="仿宋" w:cs="仿宋"/>
          <w:color w:val="000000"/>
          <w:sz w:val="32"/>
          <w:szCs w:val="32"/>
          <w:lang w:val="en-US" w:eastAsia="zh-CN"/>
        </w:rPr>
      </w:pPr>
    </w:p>
    <w:p>
      <w:pPr>
        <w:pStyle w:val="2"/>
        <w:rPr>
          <w:rFonts w:hint="eastAsia" w:ascii="仿宋" w:hAnsi="仿宋" w:eastAsia="仿宋" w:cs="仿宋"/>
          <w:color w:val="000000"/>
          <w:sz w:val="32"/>
          <w:szCs w:val="32"/>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0"/>
        <w:jc w:val="both"/>
        <w:textAlignment w:val="auto"/>
        <w:outlineLvl w:val="9"/>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rPr>
          <w:rFonts w:hint="eastAsia" w:ascii="黑体" w:hAnsi="黑体" w:eastAsia="黑体" w:cs="黑体"/>
          <w:color w:val="000000"/>
          <w:sz w:val="30"/>
          <w:szCs w:val="30"/>
        </w:rPr>
        <w:sectPr>
          <w:footerReference r:id="rId16" w:type="first"/>
          <w:footerReference r:id="rId14" w:type="default"/>
          <w:footerReference r:id="rId15" w:type="even"/>
          <w:pgSz w:w="11906" w:h="16838"/>
          <w:pgMar w:top="2211" w:right="1474" w:bottom="1417" w:left="1587" w:header="851" w:footer="992" w:gutter="0"/>
          <w:pgNumType w:fmt="decimal" w:start="7"/>
          <w:cols w:space="0" w:num="1"/>
          <w:titlePg/>
          <w:rtlGutter w:val="0"/>
          <w:docGrid w:type="lines" w:linePitch="318" w:charSpace="0"/>
        </w:sectPr>
      </w:pPr>
    </w:p>
    <w:tbl>
      <w:tblPr>
        <w:tblStyle w:val="5"/>
        <w:tblW w:w="8969"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6"/>
        <w:gridCol w:w="2480"/>
        <w:gridCol w:w="2186"/>
        <w:gridCol w:w="2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69" w:type="dxa"/>
            <w:gridSpan w:val="4"/>
            <w:tcBorders>
              <w:top w:val="nil"/>
              <w:left w:val="nil"/>
              <w:bottom w:val="nil"/>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rPr>
                <w:rFonts w:hint="eastAsia"/>
                <w:lang w:val="en-US"/>
              </w:rPr>
            </w:pPr>
            <w:r>
              <w:rPr>
                <w:rFonts w:hint="eastAsia" w:ascii="黑体" w:hAnsi="黑体" w:eastAsia="黑体" w:cs="黑体"/>
                <w:color w:val="000000"/>
                <w:sz w:val="30"/>
                <w:szCs w:val="30"/>
              </w:rPr>
              <w:t>附件</w:t>
            </w:r>
            <w:r>
              <w:rPr>
                <w:rFonts w:hint="eastAsia" w:ascii="黑体" w:hAnsi="黑体" w:eastAsia="黑体" w:cs="黑体"/>
                <w:color w:val="000000"/>
                <w:sz w:val="30"/>
                <w:szCs w:val="30"/>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ascii="宋体" w:hAnsi="宋体"/>
                <w:color w:val="000000"/>
                <w:sz w:val="22"/>
              </w:rPr>
            </w:pPr>
            <w:r>
              <w:rPr>
                <w:rFonts w:hint="eastAsia" w:ascii="方正小标宋简体" w:hAnsi="方正小标宋简体" w:eastAsia="方正小标宋简体" w:cs="方正小标宋简体"/>
                <w:sz w:val="32"/>
                <w:szCs w:val="32"/>
                <w:lang w:val="en-US" w:eastAsia="zh-CN"/>
              </w:rPr>
              <w:t>中共海南省委机构编制委员会办公室政府</w:t>
            </w:r>
            <w:r>
              <w:rPr>
                <w:rFonts w:hint="eastAsia" w:ascii="方正小标宋简体" w:hAnsi="方正小标宋简体" w:eastAsia="方正小标宋简体" w:cs="方正小标宋简体"/>
                <w:sz w:val="32"/>
                <w:szCs w:val="32"/>
                <w:lang w:eastAsia="zh-CN"/>
              </w:rPr>
              <w:t>购买服务指导性目录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代码/目录</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一级目录</w:t>
            </w: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二级目录</w:t>
            </w: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三级目录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413</w:t>
            </w:r>
            <w:r>
              <w:rPr>
                <w:rFonts w:hint="eastAsia" w:ascii="仿宋" w:hAnsi="仿宋" w:eastAsia="仿宋" w:cs="仿宋"/>
                <w:b/>
                <w:color w:val="000000"/>
                <w:sz w:val="24"/>
                <w:szCs w:val="24"/>
              </w:rPr>
              <w:t>001E</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政府履职所需辅助性服务</w:t>
            </w: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b/>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001E01</w:t>
            </w:r>
          </w:p>
        </w:tc>
        <w:tc>
          <w:tcPr>
            <w:tcW w:w="2480"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法律服务</w:t>
            </w:r>
          </w:p>
        </w:tc>
        <w:tc>
          <w:tcPr>
            <w:tcW w:w="2527"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001E0101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诉讼代理服务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001E0102</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法律咨询服务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001E02</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课题研究和社会调查</w:t>
            </w: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001E0201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工作所需相关课题研究和调查服务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001E03</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会议和展览</w:t>
            </w: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001E0301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会务、展览服务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001E04</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项目评审评估</w:t>
            </w: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001E0401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项目评审评估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001E05</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咨询</w:t>
            </w: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001E0501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工作相关咨询服务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001E06</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技术业务培训</w:t>
            </w: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001E0601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专业知识培训服务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001E07</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财务会计审计服务</w:t>
            </w: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001E0701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会计及审计工作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204001E08</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机关信息系统建设与维护</w:t>
            </w: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001E0801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机关信息系统的建设与维护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001E09</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绩效评价</w:t>
            </w:r>
          </w:p>
        </w:tc>
        <w:tc>
          <w:tcPr>
            <w:tcW w:w="2527"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001E0901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业务相关绩效评价服务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001E10</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4"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后勤服务</w:t>
            </w:r>
          </w:p>
        </w:tc>
        <w:tc>
          <w:tcPr>
            <w:tcW w:w="2527" w:type="dxa"/>
            <w:tcBorders>
              <w:top w:val="single" w:color="auto" w:sz="6" w:space="0"/>
              <w:left w:val="single" w:color="auto" w:sz="6" w:space="0"/>
              <w:bottom w:val="single" w:color="auto" w:sz="4"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lang w:val="en-US" w:eastAsia="zh-CN"/>
        </w:rPr>
        <w:sectPr>
          <w:footerReference r:id="rId19" w:type="first"/>
          <w:footerReference r:id="rId17" w:type="default"/>
          <w:footerReference r:id="rId18" w:type="even"/>
          <w:pgSz w:w="11906" w:h="16838"/>
          <w:pgMar w:top="2211" w:right="1474" w:bottom="1417" w:left="1587" w:header="851" w:footer="992" w:gutter="0"/>
          <w:pgNumType w:fmt="decimal" w:start="9"/>
          <w:cols w:space="0" w:num="1"/>
          <w:titlePg/>
          <w:rtlGutter w:val="0"/>
          <w:docGrid w:type="lines" w:linePitch="318" w:charSpace="0"/>
        </w:sectPr>
      </w:pPr>
    </w:p>
    <w:tbl>
      <w:tblPr>
        <w:tblStyle w:val="5"/>
        <w:tblW w:w="8969"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6"/>
        <w:gridCol w:w="2480"/>
        <w:gridCol w:w="2186"/>
        <w:gridCol w:w="2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001E1001</w:t>
            </w:r>
          </w:p>
        </w:tc>
        <w:tc>
          <w:tcPr>
            <w:tcW w:w="2480" w:type="dxa"/>
            <w:tcBorders>
              <w:top w:val="single" w:color="auto" w:sz="6" w:space="0"/>
              <w:left w:val="single" w:color="auto" w:sz="6" w:space="0"/>
              <w:bottom w:val="single" w:color="auto" w:sz="6" w:space="0"/>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4"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4"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办公设备维修保养服务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001E1002</w:t>
            </w:r>
          </w:p>
        </w:tc>
        <w:tc>
          <w:tcPr>
            <w:tcW w:w="2480" w:type="dxa"/>
            <w:tcBorders>
              <w:top w:val="single" w:color="auto" w:sz="6" w:space="0"/>
              <w:left w:val="single" w:color="auto" w:sz="6" w:space="0"/>
              <w:bottom w:val="nil"/>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nil"/>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物业服务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001E1003</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安全服务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001E1004</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印刷服务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001E1005</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餐饮服务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001E1006</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工程服务</w:t>
            </w: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001E1101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工程规划、设计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001E1102</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工程清单、控制价编制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001E1103</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工程的概（预）、结（决）算审核服务工作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001E1104</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其他工程管理服务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001E12</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001E1201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社会化租车服务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001E1202</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公务用车运行维护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001E1203</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档案管理服务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b/>
                <w:color w:val="000000"/>
                <w:sz w:val="24"/>
                <w:szCs w:val="24"/>
              </w:rPr>
              <w:t>001F</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其他</w:t>
            </w:r>
          </w:p>
        </w:tc>
        <w:tc>
          <w:tcPr>
            <w:tcW w:w="218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001F01</w:t>
            </w:r>
          </w:p>
        </w:tc>
        <w:tc>
          <w:tcPr>
            <w:tcW w:w="2480"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color w:val="000000"/>
                <w:sz w:val="24"/>
                <w:szCs w:val="24"/>
              </w:rPr>
            </w:pPr>
          </w:p>
        </w:tc>
        <w:tc>
          <w:tcPr>
            <w:tcW w:w="2186" w:type="dxa"/>
            <w:tcBorders>
              <w:top w:val="nil"/>
              <w:left w:val="single" w:color="auto" w:sz="6" w:space="0"/>
              <w:bottom w:val="single" w:color="auto" w:sz="6" w:space="0"/>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c>
          <w:tcPr>
            <w:tcW w:w="2527" w:type="dxa"/>
            <w:tcBorders>
              <w:top w:val="nil"/>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rPr>
                <w:rFonts w:hint="eastAsia" w:ascii="仿宋" w:hAnsi="仿宋" w:eastAsia="仿宋" w:cs="仿宋"/>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7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413</w:t>
            </w:r>
            <w:r>
              <w:rPr>
                <w:rFonts w:hint="eastAsia" w:ascii="仿宋" w:hAnsi="仿宋" w:eastAsia="仿宋" w:cs="仿宋"/>
                <w:color w:val="000000"/>
                <w:sz w:val="24"/>
                <w:szCs w:val="24"/>
              </w:rPr>
              <w:t>001F0101</w:t>
            </w:r>
          </w:p>
        </w:tc>
        <w:tc>
          <w:tcPr>
            <w:tcW w:w="248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color w:val="000000"/>
                <w:sz w:val="24"/>
                <w:szCs w:val="24"/>
              </w:rPr>
            </w:pPr>
          </w:p>
        </w:tc>
        <w:tc>
          <w:tcPr>
            <w:tcW w:w="2186" w:type="dxa"/>
            <w:tcBorders>
              <w:top w:val="single" w:color="auto" w:sz="6" w:space="0"/>
              <w:left w:val="single" w:color="auto" w:sz="6" w:space="0"/>
              <w:bottom w:val="single" w:color="auto" w:sz="6" w:space="0"/>
              <w:right w:val="nil"/>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仿宋" w:hAnsi="仿宋" w:eastAsia="仿宋" w:cs="仿宋"/>
                <w:b/>
                <w:color w:val="000000"/>
                <w:sz w:val="24"/>
                <w:szCs w:val="24"/>
              </w:rPr>
            </w:pPr>
          </w:p>
        </w:tc>
        <w:tc>
          <w:tcPr>
            <w:tcW w:w="2527"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其他政府购买服务事项</w:t>
            </w:r>
          </w:p>
        </w:tc>
      </w:tr>
    </w:tbl>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0"/>
        <w:jc w:val="both"/>
        <w:textAlignment w:val="auto"/>
        <w:outlineLvl w:val="9"/>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0"/>
        <w:jc w:val="both"/>
        <w:textAlignment w:val="auto"/>
        <w:outlineLvl w:val="9"/>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0"/>
        <w:jc w:val="both"/>
        <w:textAlignment w:val="auto"/>
        <w:outlineLvl w:val="9"/>
        <w:rPr>
          <w:rFonts w:hint="eastAsia" w:ascii="仿宋" w:hAnsi="仿宋" w:eastAsia="仿宋" w:cs="仿宋"/>
          <w:color w:val="000000"/>
          <w:sz w:val="32"/>
          <w:szCs w:val="32"/>
          <w:lang w:val="en-US" w:eastAsia="zh-CN"/>
        </w:rPr>
      </w:pPr>
    </w:p>
    <w:p>
      <w:pPr>
        <w:jc w:val="both"/>
        <w:rPr>
          <w:rFonts w:hint="default" w:ascii="Times New Roman" w:hAnsi="Times New Roman" w:eastAsia="方正小标宋简体" w:cs="Times New Roman"/>
          <w:spacing w:val="-7"/>
          <w:sz w:val="40"/>
          <w:szCs w:val="40"/>
        </w:rPr>
        <w:sectPr>
          <w:footerReference r:id="rId22" w:type="first"/>
          <w:footerReference r:id="rId20" w:type="default"/>
          <w:footerReference r:id="rId21" w:type="even"/>
          <w:pgSz w:w="11906" w:h="16838"/>
          <w:pgMar w:top="2211" w:right="1474" w:bottom="1417" w:left="1587" w:header="851" w:footer="992" w:gutter="0"/>
          <w:pgNumType w:fmt="decimal" w:start="10"/>
          <w:cols w:space="0" w:num="1"/>
          <w:titlePg/>
          <w:rtlGutter w:val="0"/>
          <w:docGrid w:type="lines" w:linePitch="318" w:charSpace="0"/>
        </w:sectPr>
      </w:pPr>
    </w:p>
    <w:p>
      <w:pPr>
        <w:rPr>
          <w:rFonts w:hint="eastAsia"/>
          <w:lang w:val="en-US" w:eastAsia="zh-CN"/>
        </w:rPr>
      </w:pPr>
    </w:p>
    <w:sectPr>
      <w:footerReference r:id="rId23" w:type="default"/>
      <w:pgSz w:w="11906" w:h="16838"/>
      <w:pgMar w:top="2211" w:right="1417" w:bottom="1701" w:left="1531"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lang w:eastAsia="zh-CN"/>
      </w:rPr>
      <w:tab/>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 </w:t>
    </w:r>
    <w:r>
      <w:rPr>
        <w:rFonts w:hint="eastAsia" w:asciiTheme="minorEastAsia" w:hAnsiTheme="minorEastAsia" w:eastAsiaTheme="minorEastAsia" w:cstheme="minorEastAsia"/>
        <w:sz w:val="28"/>
        <w:szCs w:val="28"/>
        <w:lang w:eastAsia="zh-CN"/>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eastAsiaTheme="minorEastAsia"/>
        <w:lang w:eastAsia="zh-CN"/>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8 </w:t>
    </w:r>
    <w:r>
      <w:rPr>
        <w:rFonts w:hint="eastAsia" w:asciiTheme="minorEastAsia" w:hAnsiTheme="minorEastAsia" w:cstheme="minorEastAsia"/>
        <w:sz w:val="28"/>
        <w:szCs w:val="28"/>
        <w:lang w:eastAsia="zh-CN"/>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t>6</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lang w:eastAsia="zh-CN"/>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eastAsiaTheme="minorEastAsia"/>
        <w:lang w:eastAsia="zh-CN"/>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8 </w:t>
    </w:r>
    <w:r>
      <w:rPr>
        <w:rFonts w:hint="eastAsia" w:asciiTheme="minorEastAsia" w:hAnsiTheme="minorEastAsia" w:cstheme="minorEastAsia"/>
        <w:sz w:val="28"/>
        <w:szCs w:val="28"/>
        <w:lang w:eastAsia="zh-CN"/>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83840" behindDoc="0" locked="0" layoutInCell="1" allowOverlap="1">
              <wp:simplePos x="0" y="0"/>
              <wp:positionH relativeFrom="margin">
                <wp:posOffset>2842895</wp:posOffset>
              </wp:positionH>
              <wp:positionV relativeFrom="paragraph">
                <wp:posOffset>0</wp:posOffset>
              </wp:positionV>
              <wp:extent cx="76200" cy="137160"/>
              <wp:effectExtent l="0" t="0" r="0" b="0"/>
              <wp:wrapNone/>
              <wp:docPr id="38" name="文本框 38"/>
              <wp:cNvGraphicFramePr/>
              <a:graphic xmlns:a="http://schemas.openxmlformats.org/drawingml/2006/main">
                <a:graphicData uri="http://schemas.microsoft.com/office/word/2010/wordprocessingShape">
                  <wps:wsp>
                    <wps:cNvSpPr txBox="1"/>
                    <wps:spPr>
                      <a:xfrm flipH="1">
                        <a:off x="0" y="0"/>
                        <a:ext cx="76200"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3.85pt;margin-top:0pt;height:10.8pt;width:6pt;mso-position-horizontal-relative:margin;z-index:251683840;mso-width-relative:page;mso-height-relative:page;" filled="f" stroked="f" coordsize="21600,21600" o:gfxdata="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sHrrdYAAAAHAQAADwAAAAAAAAABACAAAAAiAAAAZHJzL2Rv&#10;d25yZXYueG1sUEsBAhQAFAAAAAgAh07iQDWKHVw8AgAAbAQAAA4AAAAAAAAAAQAgAAAAJQEAAGRy&#10;cy9lMm9Eb2MueG1sUEsFBgAAAAAGAAYAWQEAANMFAAAAAA==&#10;">
              <v:fill on="f" focussize="0,0"/>
              <v:stroke on="f" weight="0.5pt"/>
              <v:imagedata o:title=""/>
              <o:lock v:ext="edit" aspectratio="f"/>
              <v:textbox inset="0mm,0mm,0mm,0mm">
                <w:txbxContent>
                  <w:p>
                    <w:pPr>
                      <w:pStyle w:val="3"/>
                    </w:pPr>
                  </w:p>
                </w:txbxContent>
              </v:textbox>
            </v:shape>
          </w:pict>
        </mc:Fallback>
      </mc:AlternateContent>
    </w:r>
    <w:r>
      <w:rPr>
        <w:sz w:val="2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t>7</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lang w:eastAsia="zh-CN"/>
      </w:rP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eastAsiaTheme="minorEastAsia"/>
        <w:lang w:eastAsia="zh-CN"/>
      </w:rPr>
    </w:pPr>
    <w:r>
      <w:rPr>
        <w:sz w:val="2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r>
      <w:rPr>
        <w:sz w:val="2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8 </w:t>
    </w:r>
    <w:r>
      <w:rPr>
        <w:rFonts w:hint="eastAsia" w:asciiTheme="minorEastAsia" w:hAnsiTheme="minorEastAsia" w:cstheme="minorEastAsia"/>
        <w:sz w:val="28"/>
        <w:szCs w:val="28"/>
        <w:lang w:eastAsia="zh-CN"/>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3"/>
                      <w:jc w:val="right"/>
                    </w:pPr>
                  </w:p>
                </w:txbxContent>
              </v:textbox>
            </v:shape>
          </w:pict>
        </mc:Fallback>
      </mc:AlternateContent>
    </w:r>
    <w:r>
      <w:rPr>
        <w:sz w:val="28"/>
      </w:rPr>
      <mc:AlternateContent>
        <mc:Choice Requires="wps">
          <w:drawing>
            <wp:anchor distT="0" distB="0" distL="114300" distR="114300" simplePos="0" relativeHeight="251692032" behindDoc="0" locked="0" layoutInCell="1" allowOverlap="1">
              <wp:simplePos x="0" y="0"/>
              <wp:positionH relativeFrom="margin">
                <wp:posOffset>2842895</wp:posOffset>
              </wp:positionH>
              <wp:positionV relativeFrom="paragraph">
                <wp:posOffset>0</wp:posOffset>
              </wp:positionV>
              <wp:extent cx="76200" cy="137160"/>
              <wp:effectExtent l="0" t="0" r="0" b="0"/>
              <wp:wrapNone/>
              <wp:docPr id="47" name="文本框 47"/>
              <wp:cNvGraphicFramePr/>
              <a:graphic xmlns:a="http://schemas.openxmlformats.org/drawingml/2006/main">
                <a:graphicData uri="http://schemas.microsoft.com/office/word/2010/wordprocessingShape">
                  <wps:wsp>
                    <wps:cNvSpPr txBox="1"/>
                    <wps:spPr>
                      <a:xfrm flipH="1">
                        <a:off x="0" y="0"/>
                        <a:ext cx="76200"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3.85pt;margin-top:0pt;height:10.8pt;width:6pt;mso-position-horizontal-relative:margin;z-index:251692032;mso-width-relative:page;mso-height-relative:page;" filled="f" stroked="f" coordsize="21600,21600" o:gfxdata="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7B663WAAAABwEAAA8AAAAAAAAAAQAgAAAAIgAAAGRycy9k&#10;b3ducmV2LnhtbFBLAQIUABQAAAAIAIdO4kCxYrh4PQIAAGwEAAAOAAAAAAAAAAEAIAAAACUBAABk&#10;cnMvZTJvRG9jLnhtbFBLBQYAAAAABgAGAFkBAADUBQAAAAA=&#10;">
              <v:fill on="f" focussize="0,0"/>
              <v:stroke on="f" weight="0.5pt"/>
              <v:imagedata o:title=""/>
              <o:lock v:ext="edit" aspectratio="f"/>
              <v:textbox inset="0mm,0mm,0mm,0mm">
                <w:txbxContent>
                  <w:p>
                    <w:pPr>
                      <w:pStyle w:val="3"/>
                    </w:pPr>
                  </w:p>
                </w:txbxContent>
              </v:textbox>
            </v:shape>
          </w:pict>
        </mc:Fallback>
      </mc:AlternateContent>
    </w:r>
    <w:r>
      <w:rPr>
        <w:sz w:val="2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9 </w:t>
    </w:r>
    <w:r>
      <w:rPr>
        <w:rFonts w:hint="eastAsia" w:asciiTheme="minorEastAsia" w:hAnsiTheme="minorEastAsia" w:cstheme="minorEastAsia"/>
        <w:sz w:val="28"/>
        <w:szCs w:val="28"/>
        <w:lang w:eastAsia="zh-CN"/>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lang w:eastAsia="zh-CN"/>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eastAsiaTheme="minorEastAsia"/>
        <w:lang w:eastAsia="zh-CN"/>
      </w:rPr>
    </w:pPr>
    <w:r>
      <w:rPr>
        <w:sz w:val="2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r>
      <w:rPr>
        <w:sz w:val="2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8 </w:t>
    </w:r>
    <w:r>
      <w:rPr>
        <w:rFonts w:hint="eastAsia" w:asciiTheme="minorEastAsia" w:hAnsiTheme="minorEastAsia" w:cstheme="minorEastAsia"/>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eastAsiaTheme="minorEastAsia"/>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2 </w:t>
    </w:r>
    <w:r>
      <w:rPr>
        <w:rFonts w:hint="eastAsia" w:asciiTheme="minorEastAsia" w:hAnsiTheme="minorEastAsia" w:cstheme="minorEastAsia"/>
        <w:sz w:val="28"/>
        <w:szCs w:val="28"/>
        <w:lang w:eastAsia="zh-CN"/>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3"/>
                      <w:jc w:val="right"/>
                    </w:pPr>
                  </w:p>
                </w:txbxContent>
              </v:textbox>
            </v:shape>
          </w:pict>
        </mc:Fallback>
      </mc:AlternateContent>
    </w:r>
    <w:r>
      <w:rPr>
        <w:sz w:val="28"/>
      </w:rPr>
      <mc:AlternateContent>
        <mc:Choice Requires="wps">
          <w:drawing>
            <wp:anchor distT="0" distB="0" distL="114300" distR="114300" simplePos="0" relativeHeight="251699200" behindDoc="0" locked="0" layoutInCell="1" allowOverlap="1">
              <wp:simplePos x="0" y="0"/>
              <wp:positionH relativeFrom="margin">
                <wp:posOffset>2842895</wp:posOffset>
              </wp:positionH>
              <wp:positionV relativeFrom="paragraph">
                <wp:posOffset>0</wp:posOffset>
              </wp:positionV>
              <wp:extent cx="76200" cy="137160"/>
              <wp:effectExtent l="0" t="0" r="0" b="0"/>
              <wp:wrapNone/>
              <wp:docPr id="57" name="文本框 57"/>
              <wp:cNvGraphicFramePr/>
              <a:graphic xmlns:a="http://schemas.openxmlformats.org/drawingml/2006/main">
                <a:graphicData uri="http://schemas.microsoft.com/office/word/2010/wordprocessingShape">
                  <wps:wsp>
                    <wps:cNvSpPr txBox="1"/>
                    <wps:spPr>
                      <a:xfrm flipH="1">
                        <a:off x="0" y="0"/>
                        <a:ext cx="76200"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3.85pt;margin-top:0pt;height:10.8pt;width:6pt;mso-position-horizontal-relative:margin;z-index:251699200;mso-width-relative:page;mso-height-relative:page;" filled="f" stroked="f" coordsize="21600,21600" o:gfxdata="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7B663WAAAABwEAAA8AAAAAAAAAAQAgAAAAIgAAAGRycy9k&#10;b3ducmV2LnhtbFBLAQIUABQAAAAIAIdO4kDO/iZtPQIAAGwEAAAOAAAAAAAAAAEAIAAAACUBAABk&#10;cnMvZTJvRG9jLnhtbFBLBQYAAAAABgAGAFkBAADUBQAAAAA=&#10;">
              <v:fill on="f" focussize="0,0"/>
              <v:stroke on="f" weight="0.5pt"/>
              <v:imagedata o:title=""/>
              <o:lock v:ext="edit" aspectratio="f"/>
              <v:textbox inset="0mm,0mm,0mm,0mm">
                <w:txbxContent>
                  <w:p>
                    <w:pPr>
                      <w:pStyle w:val="3"/>
                    </w:pPr>
                  </w:p>
                </w:txbxContent>
              </v:textbox>
            </v:shape>
          </w:pict>
        </mc:Fallback>
      </mc:AlternateContent>
    </w:r>
    <w:r>
      <w:rPr>
        <w:sz w:val="2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3"/>
                    </w:pPr>
                  </w:p>
                </w:txbxContent>
              </v:textbox>
            </v:shape>
          </w:pict>
        </mc:Fallback>
      </mc:AlternateConten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 </w:t>
    </w:r>
    <w:r>
      <w:rPr>
        <w:rFonts w:hint="eastAsia" w:asciiTheme="minorEastAsia" w:hAnsiTheme="minorEastAsia" w:cstheme="minorEastAsia"/>
        <w:sz w:val="28"/>
        <w:szCs w:val="28"/>
        <w:lang w:eastAsia="zh-CN"/>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lang w:eastAsia="zh-CN"/>
      </w:rPr>
      <w:tab/>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 </w:t>
    </w:r>
    <w:r>
      <w:rPr>
        <w:rFonts w:hint="eastAsia" w:asciiTheme="minorEastAsia" w:hAnsiTheme="minorEastAsia" w:eastAsiaTheme="minorEastAsia" w:cstheme="minorEastAsia"/>
        <w:sz w:val="28"/>
        <w:szCs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eastAsiaTheme="minorEastAsia"/>
        <w:lang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2 </w:t>
    </w:r>
    <w:r>
      <w:rPr>
        <w:rFonts w:hint="eastAsia" w:asciiTheme="minorEastAsia" w:hAnsiTheme="minorEastAsia" w:cstheme="minorEastAsia"/>
        <w:sz w:val="28"/>
        <w:szCs w:val="28"/>
        <w:lang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cstheme="minorEastAsia"/>
        <w:sz w:val="28"/>
        <w:szCs w:val="28"/>
        <w:lang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lang w:eastAsia="zh-CN"/>
      </w:rPr>
      <w:tab/>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 </w:t>
    </w:r>
    <w:r>
      <w:rPr>
        <w:rFonts w:hint="eastAsia" w:asciiTheme="minorEastAsia" w:hAnsiTheme="minorEastAsia" w:eastAsiaTheme="minorEastAsia" w:cstheme="minorEastAsia"/>
        <w:sz w:val="28"/>
        <w:szCs w:val="28"/>
        <w:lang w:eastAsia="zh-CN"/>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eastAsiaTheme="minorEastAsia"/>
        <w:lang w:eastAsia="zh-CN"/>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8 </w:t>
    </w:r>
    <w:r>
      <w:rPr>
        <w:rFonts w:hint="eastAsia" w:asciiTheme="minorEastAsia" w:hAnsiTheme="minorEastAsia" w:cstheme="minorEastAsia"/>
        <w:sz w:val="28"/>
        <w:szCs w:val="28"/>
        <w:lang w:eastAsia="zh-CN"/>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t>4</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MmY1MzBkMzNmMmJhMjBmN2NlM2FlOGJkMjhkYzEifQ=="/>
  </w:docVars>
  <w:rsids>
    <w:rsidRoot w:val="00172A27"/>
    <w:rsid w:val="015E2006"/>
    <w:rsid w:val="021A25F1"/>
    <w:rsid w:val="022B7F4F"/>
    <w:rsid w:val="028B4206"/>
    <w:rsid w:val="02933FC2"/>
    <w:rsid w:val="02C51699"/>
    <w:rsid w:val="034D5574"/>
    <w:rsid w:val="039D77E2"/>
    <w:rsid w:val="046E6F33"/>
    <w:rsid w:val="05431687"/>
    <w:rsid w:val="06704E03"/>
    <w:rsid w:val="06C32032"/>
    <w:rsid w:val="076478F2"/>
    <w:rsid w:val="08115249"/>
    <w:rsid w:val="0821422A"/>
    <w:rsid w:val="0AE014AD"/>
    <w:rsid w:val="0B140426"/>
    <w:rsid w:val="0C0400E2"/>
    <w:rsid w:val="0CB66CF9"/>
    <w:rsid w:val="0DF8343E"/>
    <w:rsid w:val="0E932596"/>
    <w:rsid w:val="0F226966"/>
    <w:rsid w:val="10AC207F"/>
    <w:rsid w:val="11B42EFF"/>
    <w:rsid w:val="11B66780"/>
    <w:rsid w:val="120B58A7"/>
    <w:rsid w:val="12BD0524"/>
    <w:rsid w:val="1329356B"/>
    <w:rsid w:val="13447FF5"/>
    <w:rsid w:val="135E44E0"/>
    <w:rsid w:val="168D0A4E"/>
    <w:rsid w:val="16D60A0F"/>
    <w:rsid w:val="176E225A"/>
    <w:rsid w:val="181D7856"/>
    <w:rsid w:val="18BB1DF9"/>
    <w:rsid w:val="193E4075"/>
    <w:rsid w:val="1A3F32B2"/>
    <w:rsid w:val="1B0C47EF"/>
    <w:rsid w:val="1B2A3245"/>
    <w:rsid w:val="1D586EA6"/>
    <w:rsid w:val="1D9B3023"/>
    <w:rsid w:val="1DC67C65"/>
    <w:rsid w:val="1DEA3AAF"/>
    <w:rsid w:val="1E154DE1"/>
    <w:rsid w:val="1F2D688A"/>
    <w:rsid w:val="1F424275"/>
    <w:rsid w:val="1F954FB4"/>
    <w:rsid w:val="1FFB1EA9"/>
    <w:rsid w:val="21EA15DC"/>
    <w:rsid w:val="235E7953"/>
    <w:rsid w:val="23C62A1C"/>
    <w:rsid w:val="240B6DA2"/>
    <w:rsid w:val="25643348"/>
    <w:rsid w:val="256B1C7C"/>
    <w:rsid w:val="25F07F6D"/>
    <w:rsid w:val="26A27E47"/>
    <w:rsid w:val="274F1AFC"/>
    <w:rsid w:val="27AF4016"/>
    <w:rsid w:val="2929386C"/>
    <w:rsid w:val="29765239"/>
    <w:rsid w:val="29B93F2F"/>
    <w:rsid w:val="2AB84C17"/>
    <w:rsid w:val="2B0F02B5"/>
    <w:rsid w:val="2B5E2D7A"/>
    <w:rsid w:val="2BBC5614"/>
    <w:rsid w:val="2BC14269"/>
    <w:rsid w:val="2C0105BF"/>
    <w:rsid w:val="2C4B5B45"/>
    <w:rsid w:val="2C6036DA"/>
    <w:rsid w:val="2CB079B4"/>
    <w:rsid w:val="2CC34016"/>
    <w:rsid w:val="2D874116"/>
    <w:rsid w:val="2E042469"/>
    <w:rsid w:val="2E6B5530"/>
    <w:rsid w:val="30057320"/>
    <w:rsid w:val="307057C7"/>
    <w:rsid w:val="30B41A07"/>
    <w:rsid w:val="30E804ED"/>
    <w:rsid w:val="315158E2"/>
    <w:rsid w:val="317E6AF5"/>
    <w:rsid w:val="31C516E0"/>
    <w:rsid w:val="31F3320A"/>
    <w:rsid w:val="32012B0A"/>
    <w:rsid w:val="345E56AA"/>
    <w:rsid w:val="34A36365"/>
    <w:rsid w:val="35903404"/>
    <w:rsid w:val="36277D3F"/>
    <w:rsid w:val="364E6FA0"/>
    <w:rsid w:val="367A3958"/>
    <w:rsid w:val="379D116B"/>
    <w:rsid w:val="37A63F8D"/>
    <w:rsid w:val="37CF2834"/>
    <w:rsid w:val="37DB4459"/>
    <w:rsid w:val="37DC3970"/>
    <w:rsid w:val="380508FD"/>
    <w:rsid w:val="38A85F7B"/>
    <w:rsid w:val="3964375B"/>
    <w:rsid w:val="39E93118"/>
    <w:rsid w:val="3A097AE7"/>
    <w:rsid w:val="3AC22BCF"/>
    <w:rsid w:val="3ADF0A6C"/>
    <w:rsid w:val="3B9FC10B"/>
    <w:rsid w:val="3BAD2397"/>
    <w:rsid w:val="3BBF5636"/>
    <w:rsid w:val="3F5C1FF5"/>
    <w:rsid w:val="3FED8DD4"/>
    <w:rsid w:val="40077350"/>
    <w:rsid w:val="40AE5D82"/>
    <w:rsid w:val="410D76F7"/>
    <w:rsid w:val="413F73FA"/>
    <w:rsid w:val="422834EB"/>
    <w:rsid w:val="423A5480"/>
    <w:rsid w:val="43AF5191"/>
    <w:rsid w:val="43DC7254"/>
    <w:rsid w:val="43E034A3"/>
    <w:rsid w:val="456215B9"/>
    <w:rsid w:val="45B02595"/>
    <w:rsid w:val="461E41EA"/>
    <w:rsid w:val="468D2133"/>
    <w:rsid w:val="4708250A"/>
    <w:rsid w:val="47B833C7"/>
    <w:rsid w:val="48752EE3"/>
    <w:rsid w:val="48D52F4F"/>
    <w:rsid w:val="49235998"/>
    <w:rsid w:val="49965301"/>
    <w:rsid w:val="49E65250"/>
    <w:rsid w:val="49ED517A"/>
    <w:rsid w:val="4BD461A5"/>
    <w:rsid w:val="4C78340B"/>
    <w:rsid w:val="4CC82AE0"/>
    <w:rsid w:val="4CD75DAE"/>
    <w:rsid w:val="4D365995"/>
    <w:rsid w:val="4D697FF3"/>
    <w:rsid w:val="4E492A4B"/>
    <w:rsid w:val="4EA8598C"/>
    <w:rsid w:val="4EB7664A"/>
    <w:rsid w:val="4F387BB8"/>
    <w:rsid w:val="4F3F238F"/>
    <w:rsid w:val="4F8A4871"/>
    <w:rsid w:val="51261D32"/>
    <w:rsid w:val="51806695"/>
    <w:rsid w:val="51CA2D14"/>
    <w:rsid w:val="554F6893"/>
    <w:rsid w:val="55595E1E"/>
    <w:rsid w:val="55716714"/>
    <w:rsid w:val="55F56E00"/>
    <w:rsid w:val="56AE55E2"/>
    <w:rsid w:val="578A23F7"/>
    <w:rsid w:val="582A2904"/>
    <w:rsid w:val="58AF4A5E"/>
    <w:rsid w:val="5927519D"/>
    <w:rsid w:val="59333EF9"/>
    <w:rsid w:val="59804066"/>
    <w:rsid w:val="59D9275F"/>
    <w:rsid w:val="59E76908"/>
    <w:rsid w:val="59F441D9"/>
    <w:rsid w:val="5A37432F"/>
    <w:rsid w:val="5BBF58EF"/>
    <w:rsid w:val="5D3A476E"/>
    <w:rsid w:val="5EB8754D"/>
    <w:rsid w:val="5F145113"/>
    <w:rsid w:val="607E58B4"/>
    <w:rsid w:val="60F264EB"/>
    <w:rsid w:val="61373745"/>
    <w:rsid w:val="61677ACF"/>
    <w:rsid w:val="61C220C1"/>
    <w:rsid w:val="623F106D"/>
    <w:rsid w:val="62BB0016"/>
    <w:rsid w:val="62CA6AFE"/>
    <w:rsid w:val="63B41556"/>
    <w:rsid w:val="63DC0681"/>
    <w:rsid w:val="63DD78C0"/>
    <w:rsid w:val="65763838"/>
    <w:rsid w:val="658F0EA2"/>
    <w:rsid w:val="65997657"/>
    <w:rsid w:val="67846D0C"/>
    <w:rsid w:val="68806758"/>
    <w:rsid w:val="68FF1F80"/>
    <w:rsid w:val="699144EB"/>
    <w:rsid w:val="6A2C5AE7"/>
    <w:rsid w:val="6A571476"/>
    <w:rsid w:val="6D03791D"/>
    <w:rsid w:val="6D8466D1"/>
    <w:rsid w:val="6EDB46DD"/>
    <w:rsid w:val="6F0F2605"/>
    <w:rsid w:val="708912E5"/>
    <w:rsid w:val="709945AC"/>
    <w:rsid w:val="71653EDD"/>
    <w:rsid w:val="731E028C"/>
    <w:rsid w:val="734409A2"/>
    <w:rsid w:val="747433FB"/>
    <w:rsid w:val="749D64FA"/>
    <w:rsid w:val="74BC356F"/>
    <w:rsid w:val="75241211"/>
    <w:rsid w:val="76847580"/>
    <w:rsid w:val="76B54E83"/>
    <w:rsid w:val="76F6EC07"/>
    <w:rsid w:val="77306951"/>
    <w:rsid w:val="77903180"/>
    <w:rsid w:val="78832187"/>
    <w:rsid w:val="79106D82"/>
    <w:rsid w:val="79D12B3E"/>
    <w:rsid w:val="79EA9692"/>
    <w:rsid w:val="7A5B345F"/>
    <w:rsid w:val="7A8F1F56"/>
    <w:rsid w:val="7ACD13A5"/>
    <w:rsid w:val="7B665F4E"/>
    <w:rsid w:val="7BE12AFF"/>
    <w:rsid w:val="7C151BBF"/>
    <w:rsid w:val="7C5A3412"/>
    <w:rsid w:val="7C712C77"/>
    <w:rsid w:val="7D057D64"/>
    <w:rsid w:val="7D55768A"/>
    <w:rsid w:val="7EFB40A9"/>
    <w:rsid w:val="7FC21F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2021-09-24T00:15:00Z</dcterms:created>
  <dc:creator>lenovo</dc:creator>
  <cp:lastModifiedBy></cp:lastModifiedBy>
  <cp:lastPrinted>2021-12-23T04:05:00Z</cp:lastPrinted>
  <dcterms:modified xsi:type="dcterms:W3CDTF">2024-01-18T08:42:05Z</dcterms:modified>
  <dc:title>中共三亚市委机构编制委员会办公室政府购买服务指导性目录编制说明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A686B010D9764BACA3A389E6E9224905_12</vt:lpwstr>
  </property>
</Properties>
</file>